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40"/>
          <w:pgNumType w:start="1"/>
        </w:sectPr>
      </w:pPr>
    </w:p>
    <w:p>
      <w:pPr>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20.764025pt;width:414pt;height:.1pt;mso-position-horizontal-relative:page;mso-position-vertical-relative:paragraph;z-index:-449" coordorigin="2917,415" coordsize="8280,2">
            <v:shape style="position:absolute;left:2917;top:415;width:8280;height:2" coordorigin="2917,415" coordsize="8280,0" path="m2917,415l11197,41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一种快干型、两罐装、环氧临时底漆/过渡涂层，适用于长时间风化后的复涂。</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94"/>
            <w:col w:w="842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预期用途</w:t>
      </w:r>
    </w:p>
    <w:p>
      <w:pPr>
        <w:spacing w:before="7" w:after="0" w:line="185" w:lineRule="auto"/>
        <w:ind w:right="22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用作底漆，在施工一系列面漆前用于保护喷砂处理过的钢材。也可用作过渡涂层，施工在新近施工的含锌底漆上，用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以防止因风蚀而产生锌盐,并可减少后道涂层的针孔。适于与控制型阴极保护一起使用。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用于新造船、维修和保养或在航保养。</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9"/>
            <w:col w:w="844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4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6576pt;width:414pt;height:.1pt;mso-position-horizontal-relative:page;mso-position-vertical-relative:paragraph;z-index:-448"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EGA088-红色</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2738" w:space="1935"/>
            <w:col w:w="606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不适用</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EGA089</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8" w:space="1275"/>
            <w:col w:w="606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甲组份：乙组份=4.00：1</w:t>
      </w:r>
      <w:r>
        <w:rPr>
          <w:rFonts w:ascii="Arial Unicode MS" w:hAnsi="Arial Unicode MS" w:cs="Arial Unicode MS" w:eastAsia="Arial Unicode MS"/>
          <w:spacing w:val="-18"/>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(85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9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11.75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传统型喷涂,</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2" w:space="1281"/>
            <w:col w:w="606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26°C;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26°C</w:t>
      </w:r>
      <w:r>
        <w:rPr>
          <w:rFonts w:ascii="Arial Unicode MS" w:hAnsi="Arial Unicode MS" w:cs="Arial Unicode MS" w:eastAsia="Arial Unicode MS"/>
          <w:spacing w:val="0"/>
          <w:w w:val="100"/>
          <w:position w:val="0"/>
          <w:sz w:val="16"/>
          <w:szCs w:val="16"/>
        </w:rPr>
      </w:r>
    </w:p>
    <w:p>
      <w:pPr>
        <w:tabs>
          <w:tab w:pos="4660" w:val="left"/>
        </w:tabs>
        <w:spacing w:before="0" w:after="0" w:line="371" w:lineRule="exact"/>
        <w:ind w:left="2291" w:right="-20"/>
        <w:jc w:val="left"/>
        <w:rPr>
          <w:rFonts w:ascii="Arial Unicode MS" w:hAnsi="Arial Unicode MS" w:cs="Arial Unicode MS" w:eastAsia="Arial Unicode MS"/>
          <w:sz w:val="16"/>
          <w:szCs w:val="16"/>
        </w:rPr>
      </w:pPr>
      <w:r>
        <w:rPr/>
        <w:pict>
          <v:group style="position:absolute;margin-left:145.570007pt;margin-top:31.397234pt;width:414.0pt;height:.1pt;mso-position-horizontal-relative:page;mso-position-vertical-relative:paragraph;z-index:-446"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熟化时间</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不需要</w:t>
      </w:r>
      <w:r>
        <w:rPr>
          <w:rFonts w:ascii="Arial Unicode MS" w:hAnsi="Arial Unicode MS" w:cs="Arial Unicode MS" w:eastAsia="Arial Unicode MS"/>
          <w:spacing w:val="0"/>
          <w:w w:val="100"/>
          <w:position w:val="0"/>
          <w:sz w:val="16"/>
          <w:szCs w:val="16"/>
        </w:rPr>
      </w:r>
    </w:p>
    <w:p>
      <w:pPr>
        <w:spacing w:before="12"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10°C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04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40"/>
          <w:cols w:num="2" w:equalWidth="0">
            <w:col w:w="3215" w:space="1404"/>
            <w:col w:w="6121"/>
          </w:cols>
        </w:sectPr>
      </w:pPr>
    </w:p>
    <w:p>
      <w:pPr>
        <w:spacing w:before="6" w:after="0" w:line="180" w:lineRule="exact"/>
        <w:jc w:val="left"/>
        <w:rPr>
          <w:sz w:val="18"/>
          <w:szCs w:val="18"/>
        </w:rPr>
      </w:pPr>
      <w:r>
        <w:rPr>
          <w:sz w:val="18"/>
          <w:szCs w:val="18"/>
        </w:rPr>
      </w:r>
    </w:p>
    <w:tbl>
      <w:tblPr>
        <w:tblW w:w="0" w:type="auto"/>
        <w:jc w:val="left"/>
        <w:tblInd w:w="2194" w:type="dxa"/>
        <w:tblLayout w:type="fixed"/>
        <w:tblCellMar>
          <w:top w:w="0" w:type="dxa"/>
          <w:left w:w="0" w:type="dxa"/>
          <w:bottom w:w="0" w:type="dxa"/>
          <w:right w:w="0" w:type="dxa"/>
        </w:tblCellMar>
        <w:tblLook w:val="01E0"/>
      </w:tblPr>
      <w:tblGrid/>
      <w:tr>
        <w:trPr>
          <w:trHeight w:val="286" w:hRule="exact"/>
        </w:trPr>
        <w:tc>
          <w:tcPr>
            <w:tcW w:w="1643"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Intershield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300</w:t>
            </w:r>
          </w:p>
        </w:tc>
        <w:tc>
          <w:tcPr>
            <w:tcW w:w="1316" w:type="dxa"/>
            <w:tcBorders>
              <w:top w:val="nil" w:sz="6" w:space="0" w:color="auto"/>
              <w:left w:val="nil" w:sz="6" w:space="0" w:color="auto"/>
              <w:bottom w:val="nil" w:sz="6" w:space="0" w:color="auto"/>
              <w:right w:val="nil" w:sz="6" w:space="0" w:color="auto"/>
            </w:tcBorders>
          </w:tcPr>
          <w:p>
            <w:pPr>
              <w:spacing w:before="1" w:after="0" w:line="240" w:lineRule="auto"/>
              <w:ind w:left="6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single" w:sz="4" w:space="0" w:color="000000"/>
              <w:left w:val="nil" w:sz="6" w:space="0" w:color="auto"/>
              <w:bottom w:val="nil" w:sz="6" w:space="0" w:color="auto"/>
              <w:right w:val="nil" w:sz="6" w:space="0" w:color="auto"/>
            </w:tcBorders>
          </w:tcPr>
          <w:p>
            <w:pPr>
              <w:spacing w:before="1" w:after="0" w:line="240" w:lineRule="auto"/>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90" w:type="dxa"/>
            <w:tcBorders>
              <w:top w:val="single" w:sz="4" w:space="0" w:color="000000"/>
              <w:left w:val="nil" w:sz="6" w:space="0" w:color="auto"/>
              <w:bottom w:val="nil" w:sz="6" w:space="0" w:color="auto"/>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single" w:sz="4" w:space="0" w:color="000000"/>
              <w:left w:val="nil" w:sz="6" w:space="0" w:color="auto"/>
              <w:bottom w:val="nil" w:sz="6" w:space="0" w:color="auto"/>
              <w:right w:val="nil" w:sz="6" w:space="0" w:color="auto"/>
            </w:tcBorders>
          </w:tcPr>
          <w:p>
            <w:pPr>
              <w:spacing w:before="1" w:after="0" w:line="240" w:lineRule="auto"/>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51" w:type="dxa"/>
            <w:tcBorders>
              <w:top w:val="single" w:sz="4" w:space="0" w:color="000000"/>
              <w:left w:val="nil" w:sz="6" w:space="0" w:color="auto"/>
              <w:bottom w:val="nil" w:sz="6" w:space="0" w:color="auto"/>
              <w:right w:val="nil" w:sz="6" w:space="0" w:color="auto"/>
            </w:tcBorders>
          </w:tcPr>
          <w:p>
            <w:pPr>
              <w:spacing w:before="1"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single" w:sz="4" w:space="0" w:color="000000"/>
              <w:left w:val="nil" w:sz="6" w:space="0" w:color="auto"/>
              <w:bottom w:val="nil" w:sz="6" w:space="0" w:color="auto"/>
              <w:right w:val="nil" w:sz="6" w:space="0" w:color="auto"/>
            </w:tcBorders>
          </w:tcPr>
          <w:p>
            <w:pPr>
              <w:spacing w:before="1" w:after="0" w:line="240" w:lineRule="auto"/>
              <w:ind w:left="2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70" w:type="dxa"/>
            <w:tcBorders>
              <w:top w:val="single" w:sz="4" w:space="0" w:color="000000"/>
              <w:left w:val="nil" w:sz="6" w:space="0" w:color="auto"/>
              <w:bottom w:val="nil" w:sz="6" w:space="0" w:color="auto"/>
              <w:right w:val="nil" w:sz="6" w:space="0" w:color="auto"/>
            </w:tcBorders>
          </w:tcPr>
          <w:p>
            <w:pPr>
              <w:spacing w:before="1" w:after="0" w:line="240" w:lineRule="auto"/>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single" w:sz="4" w:space="0" w:color="000000"/>
              <w:left w:val="nil" w:sz="6" w:space="0" w:color="auto"/>
              <w:bottom w:val="nil" w:sz="6" w:space="0" w:color="auto"/>
              <w:right w:val="nil" w:sz="6" w:space="0" w:color="auto"/>
            </w:tcBorders>
          </w:tcPr>
          <w:p>
            <w:pPr>
              <w:spacing w:before="1" w:after="0" w:line="240" w:lineRule="auto"/>
              <w:ind w:left="21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43"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Interthane</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990</w:t>
            </w:r>
          </w:p>
        </w:tc>
        <w:tc>
          <w:tcPr>
            <w:tcW w:w="1316" w:type="dxa"/>
            <w:tcBorders>
              <w:top w:val="nil" w:sz="6" w:space="0" w:color="auto"/>
              <w:left w:val="nil" w:sz="6" w:space="0" w:color="auto"/>
              <w:bottom w:val="nil" w:sz="6" w:space="0" w:color="auto"/>
              <w:right w:val="nil" w:sz="6" w:space="0" w:color="auto"/>
            </w:tcBorders>
          </w:tcPr>
          <w:p>
            <w:pPr>
              <w:spacing w:before="0" w:after="0" w:line="202" w:lineRule="exact"/>
              <w:ind w:left="6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70"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643"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Intertuf</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262</w:t>
            </w:r>
          </w:p>
        </w:tc>
        <w:tc>
          <w:tcPr>
            <w:tcW w:w="1316" w:type="dxa"/>
            <w:tcBorders>
              <w:top w:val="nil" w:sz="6" w:space="0" w:color="auto"/>
              <w:left w:val="nil" w:sz="6" w:space="0" w:color="auto"/>
              <w:bottom w:val="nil" w:sz="6" w:space="0" w:color="auto"/>
              <w:right w:val="nil" w:sz="6" w:space="0" w:color="auto"/>
            </w:tcBorders>
          </w:tcPr>
          <w:p>
            <w:pPr>
              <w:spacing w:before="0" w:after="0" w:line="202" w:lineRule="exact"/>
              <w:ind w:left="6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70"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nil" w:sz="6" w:space="0" w:color="auto"/>
              <w:left w:val="nil" w:sz="6" w:space="0" w:color="auto"/>
              <w:bottom w:val="nil" w:sz="6" w:space="0" w:color="auto"/>
              <w:right w:val="nil" w:sz="6" w:space="0" w:color="auto"/>
            </w:tcBorders>
          </w:tcPr>
          <w:p>
            <w:pPr>
              <w:spacing w:before="0" w:after="0" w:line="202" w:lineRule="exact"/>
              <w:ind w:left="21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92" w:hRule="exact"/>
        </w:trPr>
        <w:tc>
          <w:tcPr>
            <w:tcW w:w="1643"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Intertuf</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362</w:t>
            </w:r>
          </w:p>
        </w:tc>
        <w:tc>
          <w:tcPr>
            <w:tcW w:w="1316" w:type="dxa"/>
            <w:tcBorders>
              <w:top w:val="nil" w:sz="6" w:space="0" w:color="auto"/>
              <w:left w:val="nil" w:sz="6" w:space="0" w:color="auto"/>
              <w:bottom w:val="nil" w:sz="6" w:space="0" w:color="auto"/>
              <w:right w:val="nil" w:sz="6" w:space="0" w:color="auto"/>
            </w:tcBorders>
          </w:tcPr>
          <w:p>
            <w:pPr>
              <w:spacing w:before="0" w:after="0" w:line="202" w:lineRule="exact"/>
              <w:ind w:left="6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70"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93" w:type="dxa"/>
            <w:tcBorders>
              <w:top w:val="nil" w:sz="6" w:space="0" w:color="auto"/>
              <w:left w:val="nil" w:sz="6" w:space="0" w:color="auto"/>
              <w:bottom w:val="nil" w:sz="6" w:space="0" w:color="auto"/>
              <w:right w:val="nil" w:sz="6" w:space="0" w:color="auto"/>
            </w:tcBorders>
          </w:tcPr>
          <w:p>
            <w:pPr>
              <w:spacing w:before="0" w:after="0" w:line="202" w:lineRule="exact"/>
              <w:ind w:left="21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bl>
    <w:p>
      <w:pPr>
        <w:spacing w:before="53" w:after="0" w:line="233" w:lineRule="exact"/>
        <w:ind w:left="2235" w:right="-20"/>
        <w:jc w:val="left"/>
        <w:rPr>
          <w:rFonts w:ascii="Arial Unicode MS" w:hAnsi="Arial Unicode MS" w:cs="Arial Unicode MS" w:eastAsia="Arial Unicode MS"/>
          <w:sz w:val="14"/>
          <w:szCs w:val="14"/>
        </w:rPr>
      </w:pPr>
      <w:r>
        <w:rPr/>
        <w:pict>
          <v:group style="position:absolute;margin-left:144.770004pt;margin-top:24.073256pt;width:411.75pt;height:.140pt;mso-position-horizontal-relative:page;mso-position-vertical-relative:paragraph;z-index:-447" coordorigin="2895,481" coordsize="8235,3">
            <v:shape style="position:absolute;left:2895;top:481;width:8235;height:3" coordorigin="2895,481" coordsize="8235,3" path="m2895,481l11130,484e" filled="f" stroked="t" strokeweight="1.5pt" strokecolor="#000000">
              <v:path arrowok="t"/>
            </v:shape>
            <w10:wrap type="none"/>
          </v:group>
        </w:pict>
      </w:r>
      <w:r>
        <w:rPr>
          <w:rFonts w:ascii="Arial Unicode MS" w:hAnsi="Arial Unicode MS" w:cs="Arial Unicode MS" w:eastAsia="Arial Unicode MS"/>
          <w:spacing w:val="0"/>
          <w:w w:val="100"/>
          <w:position w:val="-1"/>
          <w:sz w:val="14"/>
          <w:szCs w:val="14"/>
        </w:rPr>
        <w:t>注解</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14"/>
          <w:w w:val="100"/>
          <w:position w:val="-1"/>
          <w:sz w:val="14"/>
          <w:szCs w:val="14"/>
        </w:rPr>
        <w:t> </w:t>
      </w:r>
      <w:r>
        <w:rPr>
          <w:rFonts w:ascii="Arial Unicode MS" w:hAnsi="Arial Unicode MS" w:cs="Arial Unicode MS" w:eastAsia="Arial Unicode MS"/>
          <w:spacing w:val="0"/>
          <w:w w:val="100"/>
          <w:position w:val="-1"/>
          <w:sz w:val="14"/>
          <w:szCs w:val="14"/>
        </w:rPr>
        <w:t>对于所有其它</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Intergard,</w:t>
      </w:r>
      <w:r>
        <w:rPr>
          <w:rFonts w:ascii="Arial Unicode MS" w:hAnsi="Arial Unicode MS" w:cs="Arial Unicode MS" w:eastAsia="Arial Unicode MS"/>
          <w:spacing w:val="-6"/>
          <w:w w:val="100"/>
          <w:position w:val="-1"/>
          <w:sz w:val="14"/>
          <w:szCs w:val="14"/>
        </w:rPr>
        <w:t> </w:t>
      </w:r>
      <w:r>
        <w:rPr>
          <w:rFonts w:ascii="Arial Unicode MS" w:hAnsi="Arial Unicode MS" w:cs="Arial Unicode MS" w:eastAsia="Arial Unicode MS"/>
          <w:spacing w:val="0"/>
          <w:w w:val="100"/>
          <w:position w:val="-1"/>
          <w:sz w:val="14"/>
          <w:szCs w:val="14"/>
        </w:rPr>
        <w:t>Intertuf,</w:t>
      </w:r>
      <w:r>
        <w:rPr>
          <w:rFonts w:ascii="Arial Unicode MS" w:hAnsi="Arial Unicode MS" w:cs="Arial Unicode MS" w:eastAsia="Arial Unicode MS"/>
          <w:spacing w:val="-5"/>
          <w:w w:val="100"/>
          <w:position w:val="-1"/>
          <w:sz w:val="14"/>
          <w:szCs w:val="14"/>
        </w:rPr>
        <w:t> </w:t>
      </w:r>
      <w:r>
        <w:rPr>
          <w:rFonts w:ascii="Arial Unicode MS" w:hAnsi="Arial Unicode MS" w:cs="Arial Unicode MS" w:eastAsia="Arial Unicode MS"/>
          <w:spacing w:val="0"/>
          <w:w w:val="100"/>
          <w:position w:val="-1"/>
          <w:sz w:val="14"/>
          <w:szCs w:val="14"/>
        </w:rPr>
        <w:t>Interbond</w:t>
      </w:r>
      <w:r>
        <w:rPr>
          <w:rFonts w:ascii="Arial Unicode MS" w:hAnsi="Arial Unicode MS" w:cs="Arial Unicode MS" w:eastAsia="Arial Unicode MS"/>
          <w:spacing w:val="-6"/>
          <w:w w:val="100"/>
          <w:position w:val="-1"/>
          <w:sz w:val="14"/>
          <w:szCs w:val="14"/>
        </w:rPr>
        <w:t> </w:t>
      </w:r>
      <w:r>
        <w:rPr>
          <w:rFonts w:ascii="Arial Unicode MS" w:hAnsi="Arial Unicode MS" w:cs="Arial Unicode MS" w:eastAsia="Arial Unicode MS"/>
          <w:spacing w:val="0"/>
          <w:w w:val="100"/>
          <w:position w:val="-1"/>
          <w:sz w:val="14"/>
          <w:szCs w:val="14"/>
        </w:rPr>
        <w:t>和</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Interprime</w:t>
      </w:r>
      <w:r>
        <w:rPr>
          <w:rFonts w:ascii="Arial Unicode MS" w:hAnsi="Arial Unicode MS" w:cs="Arial Unicode MS" w:eastAsia="Arial Unicode MS"/>
          <w:spacing w:val="-6"/>
          <w:w w:val="100"/>
          <w:position w:val="-1"/>
          <w:sz w:val="14"/>
          <w:szCs w:val="14"/>
        </w:rPr>
        <w:t> </w:t>
      </w:r>
      <w:r>
        <w:rPr>
          <w:rFonts w:ascii="Arial Unicode MS" w:hAnsi="Arial Unicode MS" w:cs="Arial Unicode MS" w:eastAsia="Arial Unicode MS"/>
          <w:spacing w:val="0"/>
          <w:w w:val="100"/>
          <w:position w:val="-1"/>
          <w:sz w:val="14"/>
          <w:szCs w:val="14"/>
        </w:rPr>
        <w:t>产品的复涂间隔，请参照上面的</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Intuf</w:t>
      </w:r>
      <w:r>
        <w:rPr>
          <w:rFonts w:ascii="Arial Unicode MS" w:hAnsi="Arial Unicode MS" w:cs="Arial Unicode MS" w:eastAsia="Arial Unicode MS"/>
          <w:spacing w:val="-3"/>
          <w:w w:val="100"/>
          <w:position w:val="-1"/>
          <w:sz w:val="14"/>
          <w:szCs w:val="14"/>
        </w:rPr>
        <w:t> </w:t>
      </w:r>
      <w:r>
        <w:rPr>
          <w:rFonts w:ascii="Arial Unicode MS" w:hAnsi="Arial Unicode MS" w:cs="Arial Unicode MS" w:eastAsia="Arial Unicode MS"/>
          <w:spacing w:val="0"/>
          <w:w w:val="100"/>
          <w:position w:val="-1"/>
          <w:sz w:val="14"/>
          <w:szCs w:val="14"/>
        </w:rPr>
        <w:t>262。</w:t>
      </w:r>
      <w:r>
        <w:rPr>
          <w:rFonts w:ascii="Arial Unicode MS" w:hAnsi="Arial Unicode MS" w:cs="Arial Unicode MS" w:eastAsia="Arial Unicode MS"/>
          <w:spacing w:val="0"/>
          <w:w w:val="100"/>
          <w:position w:val="0"/>
          <w:sz w:val="14"/>
          <w:szCs w:val="14"/>
        </w:rPr>
      </w:r>
    </w:p>
    <w:p>
      <w:pPr>
        <w:spacing w:before="8"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4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37.849998pt;margin-top:2.506124pt;width:525.6pt;height:43.5908pt;mso-position-horizontal-relative:page;mso-position-vertical-relative:paragraph;z-index:-445"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450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293</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4148" w:space="66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sectPr>
      </w:pPr>
    </w:p>
    <w:p>
      <w:pPr>
        <w:tabs>
          <w:tab w:pos="2280" w:val="left"/>
        </w:tabs>
        <w:spacing w:before="37" w:after="0" w:line="240" w:lineRule="auto"/>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当作为已核准的方案的一部分使用时，该涂料具有下列证书：</w:t>
      </w:r>
    </w:p>
    <w:p>
      <w:pPr>
        <w:spacing w:before="85" w:after="0" w:line="240" w:lineRule="auto"/>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食品接触－装载谷物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(NOHA)</w:t>
      </w:r>
      <w:r>
        <w:rPr>
          <w:rFonts w:ascii="Arial Unicode MS" w:hAnsi="Arial Unicode MS" w:cs="Arial Unicode MS" w:eastAsia="Arial Unicode MS"/>
          <w:spacing w:val="0"/>
          <w:w w:val="100"/>
          <w:sz w:val="16"/>
          <w:szCs w:val="16"/>
        </w:rPr>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耐火性－符合低播焰要求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(WFR)－(IMO</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Resolution</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A653</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(16))</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耐火性－符合“海洋设备指导”的规定</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腐蚀控制</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中国船级社(CCS)</w:t>
      </w:r>
      <w:r>
        <w:rPr>
          <w:rFonts w:ascii="Arial Unicode MS" w:hAnsi="Arial Unicode MS" w:cs="Arial Unicode MS" w:eastAsia="Arial Unicode MS"/>
          <w:spacing w:val="0"/>
          <w:w w:val="100"/>
          <w:sz w:val="16"/>
          <w:szCs w:val="16"/>
        </w:rPr>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3936pt;width:409.5pt;height:.1pt;mso-position-horizontal-relative:page;mso-position-vertical-relative:paragraph;z-index:-444" coordorigin="2917,381" coordsize="8190,2">
            <v:shape style="position:absolute;left:2917;top:381;width:8190;height:2" coordorigin="2917,381" coordsize="8190,0" path="m2917,381l11107,381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4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58" w:space="877"/>
            <w:col w:w="840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2676pt;width:414.0pt;height:.1pt;mso-position-horizontal-relative:page;mso-position-vertical-relative:paragraph;z-index:-443"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7"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71" w:after="0" w:line="185" w:lineRule="auto"/>
        <w:ind w:left="6" w:right="166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用作压载舱的临时底漆时。</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浸水应用：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磨光所有焊接处、锐边和凸出部分，使其光滑圆润，并在进行喷砂清理前除去所有焊接飞溅物。</w:t>
      </w:r>
    </w:p>
    <w:p>
      <w:pPr>
        <w:spacing w:before="0" w:after="0" w:line="185" w:lineRule="auto"/>
        <w:ind w:left="6" w:right="1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磨料喷砂清理至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标准。如在喷砂和施工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之间已发生氧化，表面应再行喷砂处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理至规定的图片标准。</w:t>
      </w:r>
    </w:p>
    <w:p>
      <w:pPr>
        <w:spacing w:before="0" w:after="0" w:line="185" w:lineRule="auto"/>
        <w:ind w:left="6" w:right="26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喷砂清理过程中暴露出来的表面缺陷，应打磨、嵌填或采用合适的方法进行处理。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小区域可通过动力工具处理至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(JSRA</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SPSS:1984)。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用作压载舱以外其它区域的临时底漆时。</w:t>
      </w:r>
    </w:p>
    <w:p>
      <w:pPr>
        <w:spacing w:before="0" w:after="0" w:line="185" w:lineRule="auto"/>
        <w:ind w:left="6" w:right="20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磨料喷砂清理至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99"/>
          <w:sz w:val="16"/>
          <w:szCs w:val="16"/>
        </w:rPr>
        <w:t>8501-1:2007)标准。如果在喷砂和施工</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之间已发生氧化，表面应再行喷砂处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理至规定的图片标准。</w:t>
      </w:r>
    </w:p>
    <w:p>
      <w:pPr>
        <w:spacing w:before="0" w:after="0" w:line="22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喷砂清理过程中暴露出来的表面缺陷，应打磨、嵌填或采用合适的方法进行处理。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可施工在处理至国际油漆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超高压水清理标准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HB2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的表面上，对于水下船壳/水线间</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区域，闪锈应不低于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HB2L</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标准，对于水上区域，则闪锈应不低于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HB2M</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标准。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小区域可通过动力工具处理至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(JSRA</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SPSS:1984)。</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用作含锌底漆上的过渡涂层时。</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底漆表面应清洁、干燥且无任何污染物，破损、损坏等区域应处理至规定的标准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(例如：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99"/>
          <w:sz w:val="16"/>
          <w:szCs w:val="16"/>
        </w:rPr>
        <w:t>应在规定的复涂间隔时间内采用Intergard</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269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进行复涂(请参阅相关的产品说明书)。</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99"/>
          <w:sz w:val="16"/>
          <w:szCs w:val="16"/>
        </w:rPr>
        <w:t>为避免在涂有含锌底漆的表面出现针孔，Intergard</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269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15-25%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的稀释。</w:t>
      </w:r>
    </w:p>
    <w:p>
      <w:pPr>
        <w:spacing w:before="0" w:after="0" w:line="430" w:lineRule="atLeast"/>
        <w:ind w:left="6" w:right="2098"/>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关于液舱涂装工程，请向国际油漆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咨询应遵循的详细液舱涂装程序。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61" w:after="0" w:line="185" w:lineRule="auto"/>
        <w:ind w:left="6" w:right="454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注意事项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用于北美地区的海洋环境，可采用下列表面处理标准：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SSPC-SP10</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before="0" w:after="0" w:line="185" w:lineRule="auto"/>
        <w:ind w:left="6" w:right="542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SSPC-SP6</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(JSRA</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SPSS:1984)</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4"/>
            <w:col w:w="844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0" w:after="0" w:line="180" w:lineRule="exact"/>
        <w:jc w:val="left"/>
        <w:rPr>
          <w:sz w:val="18"/>
          <w:szCs w:val="18"/>
        </w:rPr>
      </w:pPr>
      <w:r>
        <w:rPr>
          <w:sz w:val="18"/>
          <w:szCs w:val="18"/>
        </w:rPr>
      </w:r>
    </w:p>
    <w:p>
      <w:pPr>
        <w:spacing w:before="0"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18" w:after="0" w:line="240" w:lineRule="exact"/>
        <w:jc w:val="left"/>
        <w:rPr>
          <w:sz w:val="24"/>
          <w:szCs w:val="24"/>
        </w:rPr>
      </w:pPr>
      <w:r>
        <w:rPr>
          <w:sz w:val="24"/>
          <w:szCs w:val="24"/>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0" w:after="0" w:line="352"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漆辊</w:t>
      </w:r>
      <w:r>
        <w:rPr>
          <w:rFonts w:ascii="Arial Unicode MS" w:hAnsi="Arial Unicode MS" w:cs="Arial Unicode MS" w:eastAsia="Arial Unicode MS"/>
          <w:spacing w:val="0"/>
          <w:w w:val="100"/>
          <w:position w:val="0"/>
          <w:sz w:val="22"/>
          <w:szCs w:val="22"/>
        </w:rPr>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6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涂料分装在两个容器中，作为一组供应。使用时应始终按供应的比例整组混合。</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(1)采用电动搅拌器搅拌基料(甲组份)。</w:t>
      </w:r>
    </w:p>
    <w:p>
      <w:pPr>
        <w:spacing w:before="0" w:after="0" w:line="224" w:lineRule="exact"/>
        <w:ind w:left="30"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混合全部固化剂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(乙组份)与基料</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(甲组份)，并采用电动搅拌器彻底搅拌。</w:t>
      </w:r>
    </w:p>
    <w:p>
      <w:pPr>
        <w:spacing w:before="1" w:after="0" w:line="150" w:lineRule="exact"/>
        <w:jc w:val="left"/>
        <w:rPr>
          <w:sz w:val="15"/>
          <w:szCs w:val="15"/>
        </w:rPr>
      </w:pPr>
      <w:r>
        <w:rPr>
          <w:sz w:val="15"/>
          <w:szCs w:val="15"/>
        </w:rPr>
      </w:r>
    </w:p>
    <w:p>
      <w:pPr>
        <w:spacing w:before="0" w:after="0" w:line="185" w:lineRule="auto"/>
        <w:ind w:left="15" w:right="22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0.38-0.53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141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(2010磅/平方英寸)</w:t>
      </w:r>
      <w:r>
        <w:rPr>
          <w:rFonts w:ascii="Arial Unicode MS" w:hAnsi="Arial Unicode MS" w:cs="Arial Unicode MS" w:eastAsia="Arial Unicode MS"/>
          <w:spacing w:val="0"/>
          <w:w w:val="100"/>
          <w:sz w:val="16"/>
          <w:szCs w:val="16"/>
        </w:rPr>
      </w:r>
    </w:p>
    <w:p>
      <w:pPr>
        <w:spacing w:before="8" w:after="0" w:line="316"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采用合适的专用设备。可能需要进行稀释。</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GTA822/GTA220</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40"/>
          <w:cols w:num="2" w:equalWidth="0">
            <w:col w:w="1238" w:space="1149"/>
            <w:col w:w="8353"/>
          </w:cols>
        </w:sectPr>
      </w:pPr>
    </w:p>
    <w:p>
      <w:pPr>
        <w:tabs>
          <w:tab w:pos="2380" w:val="left"/>
        </w:tabs>
        <w:spacing w:before="67" w:after="0" w:line="178" w:lineRule="auto"/>
        <w:ind w:left="2387" w:right="248"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GTA822/GTA220</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合，不应再行密封，施工中如停顿时间过长，建议重新混合各组份，再开始施工。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所有设备在使用后应立即采用国际牌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GTA822/GTA220</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进行清洗。在一天的工作过程中定时冲洗喷涂设备是一种良</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好的工作习惯。清洗次数取决于喷涂数量、温度、相对湿度和使用时间(包括耽搁的时间)。不要超过涂料的混合后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施工时间。</w:t>
      </w:r>
    </w:p>
    <w:p>
      <w:pPr>
        <w:spacing w:before="0" w:after="0" w:line="214" w:lineRule="exact"/>
        <w:ind w:left="238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所有剩余涂料和空容器应按照当地适宜的规章/法律进行处置。</w:t>
      </w:r>
      <w:r>
        <w:rPr>
          <w:rFonts w:ascii="Arial Unicode MS" w:hAnsi="Arial Unicode MS" w:cs="Arial Unicode MS" w:eastAsia="Arial Unicode MS"/>
          <w:spacing w:val="0"/>
          <w:w w:val="100"/>
          <w:position w:val="0"/>
          <w:sz w:val="16"/>
          <w:szCs w:val="16"/>
        </w:rPr>
      </w:r>
    </w:p>
    <w:p>
      <w:pPr>
        <w:spacing w:before="8" w:after="0" w:line="240" w:lineRule="exact"/>
        <w:jc w:val="left"/>
        <w:rPr>
          <w:sz w:val="24"/>
          <w:szCs w:val="24"/>
        </w:rPr>
      </w:pPr>
      <w:r>
        <w:rPr>
          <w:sz w:val="24"/>
          <w:szCs w:val="24"/>
        </w:rPr>
      </w:r>
    </w:p>
    <w:p>
      <w:pPr>
        <w:tabs>
          <w:tab w:pos="2360" w:val="left"/>
        </w:tabs>
        <w:spacing w:before="8" w:after="0" w:line="158"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72483pt;width:405.75pt;height:.1pt;mso-position-horizontal-relative:page;mso-position-vertical-relative:paragraph;z-index:-442"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7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103"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该产品在</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5°C</w:t>
      </w:r>
      <w:r>
        <w:rPr>
          <w:rFonts w:ascii="Arial Unicode MS" w:hAnsi="Arial Unicode MS" w:cs="Arial Unicode MS" w:eastAsia="Arial Unicode MS"/>
          <w:spacing w:val="-3"/>
          <w:w w:val="100"/>
          <w:position w:val="0"/>
          <w:sz w:val="16"/>
          <w:szCs w:val="16"/>
        </w:rPr>
        <w:t> </w:t>
      </w:r>
      <w:r>
        <w:rPr>
          <w:rFonts w:ascii="Arial Unicode MS" w:hAnsi="Arial Unicode MS" w:cs="Arial Unicode MS" w:eastAsia="Arial Unicode MS"/>
          <w:spacing w:val="0"/>
          <w:w w:val="100"/>
          <w:position w:val="0"/>
          <w:sz w:val="16"/>
          <w:szCs w:val="16"/>
        </w:rPr>
        <w:t>以下不会充分固化。为达到最佳性能，固化温度应高于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10°C。钢材的材龄和处理方法对油漆消耗量有显</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著影响。</w:t>
      </w:r>
    </w:p>
    <w:p>
      <w:pPr>
        <w:spacing w:before="5" w:after="0" w:line="185" w:lineRule="auto"/>
        <w:ind w:left="2297" w:right="22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0" w:after="0" w:line="185" w:lineRule="auto"/>
        <w:ind w:left="2297" w:right="158"/>
        <w:jc w:val="left"/>
        <w:rPr>
          <w:rFonts w:ascii="Arial Unicode MS" w:hAnsi="Arial Unicode MS" w:cs="Arial Unicode MS" w:eastAsia="Arial Unicode MS"/>
          <w:sz w:val="16"/>
          <w:szCs w:val="16"/>
        </w:rPr>
      </w:pPr>
      <w:r>
        <w:rPr/>
        <w:pict>
          <v:group style="position:absolute;margin-left:145.850006pt;margin-top:27.133881pt;width:417.6pt;height:.1pt;mso-position-horizontal-relative:page;mso-position-vertical-relative:paragraph;z-index:-441" coordorigin="2917,543" coordsize="8352,2">
            <v:shape style="position:absolute;left:2917;top:543;width:8352;height:2" coordorigin="2917,543" coordsize="8352,0" path="m2917,543l11269,543e" filled="f" stroked="t" strokeweight="1.5pt" strokecolor="#000000">
              <v:path arrowok="t"/>
            </v:shape>
            <w10:wrap type="none"/>
          </v:group>
        </w:pict>
      </w:r>
      <w:r>
        <w:rPr>
          <w:rFonts w:ascii="Arial Unicode MS" w:hAnsi="Arial Unicode MS" w:cs="Arial Unicode MS" w:eastAsia="Arial Unicode MS"/>
          <w:spacing w:val="0"/>
          <w:w w:val="100"/>
          <w:sz w:val="16"/>
          <w:szCs w:val="16"/>
        </w:rPr>
        <w:t>在“复涂数据”一节中,</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不限</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'ext'。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请参阅我们的网址中提供的“船舶涂装指导</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定义和缩写”（Marine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Painting</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Guide</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Definitions</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and</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Abbreviations）。</w:t>
      </w:r>
      <w:r>
        <w:rPr>
          <w:rFonts w:ascii="Arial Unicode MS" w:hAnsi="Arial Unicode MS" w:cs="Arial Unicode MS" w:eastAsia="Arial Unicode MS"/>
          <w:spacing w:val="0"/>
          <w:w w:val="100"/>
          <w:sz w:val="16"/>
          <w:szCs w:val="16"/>
        </w:rPr>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5146pt;width:522.75pt;height:64.1258pt;mso-position-horizontal-relative:page;mso-position-vertical-relative:paragraph;z-index:-440" coordorigin="757,46" coordsize="10455,1283">
            <v:shape style="position:absolute;left:757;top:46;width:10455;height:1283" coordorigin="757,46" coordsize="10455,1283" path="m757,1329l11212,1329,11212,46,757,46,757,1329xe" filled="t" fillcolor="#D2D2D2" stroked="f">
              <v:path arrowok="t"/>
              <v:fill/>
            </v:shape>
            <w10:wrap type="none"/>
          </v:group>
        </w:pict>
      </w:r>
      <w:r>
        <w:rPr/>
        <w:pict>
          <v:shape style="position:absolute;margin-left:166.5pt;margin-top:2.315146pt;width:394.1pt;height:47.175816pt;mso-position-horizontal-relative:page;mso-position-vertical-relative:paragraph;z-index:-436"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59"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3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98" w:type="dxa"/>
                        <w:tcBorders>
                          <w:top w:val="nil" w:sz="6" w:space="0" w:color="auto"/>
                          <w:left w:val="nil" w:sz="6" w:space="0" w:color="auto"/>
                          <w:bottom w:val="nil" w:sz="6" w:space="0" w:color="auto"/>
                          <w:right w:val="nil" w:sz="6" w:space="0" w:color="auto"/>
                        </w:tcBorders>
                        <w:shd w:val="clear" w:color="auto" w:fill="D2D2D2"/>
                      </w:tcPr>
                      <w:p>
                        <w:pP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6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3700" w:type="dxa"/>
                        <w:tcBorders>
                          <w:top w:val="nil" w:sz="6" w:space="0" w:color="auto"/>
                          <w:left w:val="nil" w:sz="6" w:space="0" w:color="auto"/>
                          <w:bottom w:val="nil" w:sz="6" w:space="0" w:color="auto"/>
                          <w:right w:val="nil" w:sz="6" w:space="0" w:color="auto"/>
                        </w:tcBorders>
                        <w:shd w:val="clear" w:color="auto" w:fill="D2D2D2"/>
                      </w:tcPr>
                      <w:p>
                        <w:pPr/>
                      </w:p>
                    </w:tc>
                  </w:tr>
                  <w:tr>
                    <w:trPr>
                      <w:trHeight w:val="225" w:hRule="exact"/>
                    </w:trPr>
                    <w:tc>
                      <w:tcPr>
                        <w:tcW w:w="959" w:type="dxa"/>
                        <w:tcBorders>
                          <w:top w:val="nil" w:sz="6" w:space="0" w:color="auto"/>
                          <w:left w:val="nil" w:sz="6" w:space="0" w:color="auto"/>
                          <w:bottom w:val="nil" w:sz="6" w:space="0" w:color="auto"/>
                          <w:right w:val="nil" w:sz="6" w:space="0" w:color="auto"/>
                        </w:tcBorders>
                        <w:shd w:val="clear" w:color="auto" w:fill="D2D2D2"/>
                      </w:tcPr>
                      <w:p>
                        <w:pP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406" w:right="42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898"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59" w:right="41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r>
                  <w:tr>
                    <w:trPr>
                      <w:trHeight w:val="550" w:hRule="exact"/>
                    </w:trPr>
                    <w:tc>
                      <w:tcPr>
                        <w:tcW w:w="959"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4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8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16</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898"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6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2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1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5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10" w:after="0" w:line="200" w:lineRule="exact"/>
        <w:jc w:val="left"/>
        <w:rPr>
          <w:sz w:val="20"/>
          <w:szCs w:val="20"/>
        </w:rPr>
      </w:pPr>
      <w:r>
        <w:rPr>
          <w:sz w:val="20"/>
          <w:szCs w:val="20"/>
        </w:rPr>
      </w:r>
    </w:p>
    <w:p>
      <w:pPr>
        <w:spacing w:before="0" w:after="0" w:line="210"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有关其它包装尺寸，请向国际油漆</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(International</w:t>
      </w:r>
      <w:r>
        <w:rPr>
          <w:rFonts w:ascii="Arial Unicode MS" w:hAnsi="Arial Unicode MS" w:cs="Arial Unicode MS" w:eastAsia="Arial Unicode MS"/>
          <w:spacing w:val="-8"/>
          <w:w w:val="100"/>
          <w:sz w:val="14"/>
          <w:szCs w:val="14"/>
        </w:rPr>
        <w:t> </w:t>
      </w:r>
      <w:r>
        <w:rPr>
          <w:rFonts w:ascii="Arial Unicode MS" w:hAnsi="Arial Unicode MS" w:cs="Arial Unicode MS" w:eastAsia="Arial Unicode MS"/>
          <w:spacing w:val="0"/>
          <w:w w:val="100"/>
          <w:sz w:val="14"/>
          <w:szCs w:val="14"/>
        </w:rPr>
        <w:t>Paint)</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咨询。</w:t>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9191pt;width:522.75pt;height:40.8819pt;mso-position-horizontal-relative:page;mso-position-vertical-relative:paragraph;z-index:-439" coordorigin="757,139" coordsize="10455,818">
            <v:shape style="position:absolute;left:757;top:139;width:10455;height:818" coordorigin="757,139" coordsize="10455,818" path="m757,957l11212,957,11212,139,757,139,757,957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20" w:val="left"/>
        </w:tabs>
        <w:spacing w:before="0" w:after="0" w:line="178"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32.9</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千克</w:t>
      </w:r>
    </w:p>
    <w:p>
      <w:pPr>
        <w:tabs>
          <w:tab w:pos="4600" w:val="left"/>
        </w:tabs>
        <w:spacing w:before="2" w:after="0" w:line="233" w:lineRule="exact"/>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68.4</w:t>
      </w:r>
      <w:r>
        <w:rPr>
          <w:rFonts w:ascii="Arial Unicode MS" w:hAnsi="Arial Unicode MS" w:cs="Arial Unicode MS" w:eastAsia="Arial Unicode MS"/>
          <w:spacing w:val="-3"/>
          <w:w w:val="100"/>
          <w:position w:val="-1"/>
          <w:sz w:val="14"/>
          <w:szCs w:val="14"/>
        </w:rPr>
        <w:t> </w:t>
      </w:r>
      <w:r>
        <w:rPr>
          <w:rFonts w:ascii="Arial Unicode MS" w:hAnsi="Arial Unicode MS" w:cs="Arial Unicode MS" w:eastAsia="Arial Unicode MS"/>
          <w:spacing w:val="0"/>
          <w:w w:val="100"/>
          <w:position w:val="-1"/>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2024pt;width:524.5pt;height:20.9882pt;mso-position-horizontal-relative:page;mso-position-vertical-relative:paragraph;z-index:-438"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4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38" w:space="840"/>
            <w:col w:w="846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25402pt;width:414pt;height:.1pt;mso-position-horizontal-relative:page;mso-position-vertical-relative:paragraph;z-index:-437" coordorigin="2897,-69" coordsize="8280,2">
            <v:shape style="position:absolute;left:2897;top:-69;width:8280;height:2" coordorigin="2897,-69" coordsize="8280,0" path="m2897,-69l11177,-69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40"/>
      <w:cols w:num="2" w:equalWidth="0">
        <w:col w:w="998" w:space="1274"/>
        <w:col w:w="84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447" type="#_x0000_t75">
          <v:imagedata r:id="rId1" o:title=""/>
        </v:shape>
      </w:pict>
    </w:r>
    <w:r>
      <w:rPr/>
      <w:pict>
        <v:group style="position:absolute;margin-left:36.860001pt;margin-top:780.25pt;width:455.53pt;height:.1pt;mso-position-horizontal-relative:page;mso-position-vertical-relative:page;z-index:-446"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445"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资料来源206</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449" type="#_x0000_t75">
          <v:imagedata r:id="rId1" o:title=""/>
        </v:shape>
      </w:pict>
    </w:r>
    <w:r>
      <w:rPr/>
      <w:pict>
        <v:shapetype id="_x0000_t202" o:spt="202" coordsize="21600,21600" path="m,l,21600r21600,l21600,xe">
          <v:stroke joinstyle="miter"/>
          <v:path gradientshapeok="t" o:connecttype="rect"/>
        </v:shapetype>
        <v:shape style="position:absolute;margin-left:414.480896pt;margin-top:13.964228pt;width:148.893204pt;height:39.970127pt;mso-position-horizontal-relative:page;mso-position-vertical-relative:page;z-index:-448"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269</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444" type="#_x0000_t75">
          <v:imagedata r:id="rId1" o:title=""/>
        </v:shape>
      </w:pict>
    </w:r>
    <w:r>
      <w:rPr/>
      <w:pict>
        <v:shape style="position:absolute;margin-left:414.480896pt;margin-top:13.964228pt;width:148.893204pt;height:39.970127pt;mso-position-horizontal-relative:page;mso-position-vertical-relative:page;z-index:-443"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269</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442" type="#_x0000_t75">
          <v:imagedata r:id="rId1" o:title=""/>
        </v:shape>
      </w:pict>
    </w:r>
    <w:r>
      <w:rPr/>
      <w:pict>
        <v:shape style="position:absolute;margin-left:414.480896pt;margin-top:13.964228pt;width:148.893204pt;height:39.970127pt;mso-position-horizontal-relative:page;mso-position-vertical-relative:page;z-index:-441"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269</w:t>
                </w:r>
                <w:r>
                  <w:rPr>
                    <w:rFonts w:ascii="Arial Unicode MS" w:hAnsi="Arial Unicode MS" w:cs="Arial Unicode MS" w:eastAsia="Arial Unicode MS"/>
                    <w:spacing w:val="0"/>
                    <w:w w:val="100"/>
                    <w:position w:val="0"/>
                    <w:sz w:val="48"/>
                    <w:szCs w:val="48"/>
                  </w:rPr>
                </w:r>
              </w:p>
              <w:p>
                <w:pPr>
                  <w:spacing w:before="0" w:after="0" w:line="262" w:lineRule="exact"/>
                  <w:ind w:left="1357"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环氧底漆/过渡漆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Intergard 269 环氧底漆/过渡漆 Intergard 1 07/07/2009 Intergard 269 I 206 chi-s</cp:keywords>
  <dc:subject>Technical Datasheet</dc:subject>
  <dc:title>Intergard 269</dc:title>
  <dcterms:created xsi:type="dcterms:W3CDTF">2015-07-27T15:49:24Z</dcterms:created>
  <dcterms:modified xsi:type="dcterms:W3CDTF">2015-07-27T15:49:24Z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