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g" ContentType="image/jp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1" w:after="0" w:line="190" w:lineRule="exact"/>
        <w:jc w:val="left"/>
        <w:rPr>
          <w:sz w:val="19"/>
          <w:szCs w:val="19"/>
        </w:rPr>
      </w:pPr>
      <w:r>
        <w:rPr>
          <w:sz w:val="19"/>
          <w:szCs w:val="19"/>
        </w:rPr>
      </w:r>
    </w:p>
    <w:p>
      <w:pPr>
        <w:spacing w:line="190" w:lineRule="exact" w:after="0"/>
        <w:jc w:val="left"/>
        <w:rPr>
          <w:sz w:val="19"/>
          <w:szCs w:val="19"/>
        </w:rPr>
        <w:sectPr>
          <w:headerReference w:type="default" r:id="rId5"/>
          <w:footerReference w:type="default" r:id="rId6"/>
          <w:type w:val="continuous"/>
          <w:pgSz w:w="11900" w:h="16820"/>
          <w:pgMar w:header="299" w:footer="1582" w:top="1040" w:bottom="1780" w:left="620" w:right="540"/>
          <w:pgNumType w:start="1"/>
        </w:sectPr>
      </w:pPr>
    </w:p>
    <w:p>
      <w:pPr>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20.764025pt;width:414pt;height:.1pt;mso-position-horizontal-relative:page;mso-position-vertical-relative:paragraph;z-index:-449" coordorigin="2917,415" coordsize="8280,2">
            <v:shape style="position:absolute;left:2917;top:415;width:8280;height:2" coordorigin="2917,415" coordsize="8280,0" path="m2917,415l11197,41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产品概述</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一种快干型、两罐装、环氧临时底漆/过渡涂层，适用于长时间风化后的复涂。</w:t>
      </w:r>
      <w:r>
        <w:rPr>
          <w:rFonts w:ascii="Arial Unicode MS" w:hAnsi="Arial Unicode MS" w:cs="Arial Unicode MS" w:eastAsia="Arial Unicode MS"/>
          <w:spacing w:val="0"/>
          <w:w w:val="100"/>
          <w:sz w:val="16"/>
          <w:szCs w:val="16"/>
        </w:rPr>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94"/>
            <w:col w:w="8428"/>
          </w:cols>
        </w:sectPr>
      </w:pPr>
    </w:p>
    <w:p>
      <w:pPr>
        <w:spacing w:before="7"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预期用途</w:t>
      </w:r>
    </w:p>
    <w:p>
      <w:pPr>
        <w:spacing w:before="7" w:after="0" w:line="185" w:lineRule="auto"/>
        <w:ind w:right="221"/>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用作底漆，在施工一系列面漆前用于保护喷砂处理过的钢材。也可用作过渡涂层，施工在新近施工的含锌底漆上，用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以防止因风蚀而产生锌盐,并可减少后道涂层的针孔。适于与控制型阴极保护一起使用。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用于新造船、维修和保养或在航保养。</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9"/>
            <w:col w:w="8443"/>
          </w:cols>
        </w:sectPr>
      </w:pPr>
    </w:p>
    <w:p>
      <w:pPr>
        <w:spacing w:before="12" w:after="0" w:line="220" w:lineRule="exact"/>
        <w:jc w:val="left"/>
        <w:rPr>
          <w:sz w:val="22"/>
          <w:szCs w:val="22"/>
        </w:rPr>
      </w:pPr>
      <w:r>
        <w:rPr>
          <w:sz w:val="22"/>
          <w:szCs w:val="22"/>
        </w:rPr>
      </w:r>
    </w:p>
    <w:p>
      <w:pPr>
        <w:spacing w:line="220" w:lineRule="exact" w:after="0"/>
        <w:jc w:val="left"/>
        <w:rPr>
          <w:sz w:val="22"/>
          <w:szCs w:val="22"/>
        </w:rPr>
        <w:sectPr>
          <w:type w:val="continuous"/>
          <w:pgSz w:w="11900" w:h="16820"/>
          <w:pgMar w:top="1040" w:bottom="1780" w:left="620" w:right="540"/>
        </w:sectPr>
      </w:pPr>
    </w:p>
    <w:p>
      <w:pPr>
        <w:tabs>
          <w:tab w:pos="2280" w:val="left"/>
        </w:tabs>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3.756576pt;width:414pt;height:.1pt;mso-position-horizontal-relative:page;mso-position-vertical-relative:paragraph;z-index:-448"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产品信息</w:t>
        <w:tab/>
      </w:r>
      <w:r>
        <w:rPr>
          <w:rFonts w:ascii="Arial Unicode MS" w:hAnsi="Arial Unicode MS" w:cs="Arial Unicode MS" w:eastAsia="Arial Unicode MS"/>
          <w:spacing w:val="0"/>
          <w:w w:val="100"/>
          <w:position w:val="0"/>
          <w:sz w:val="22"/>
          <w:szCs w:val="22"/>
        </w:rPr>
        <w:t>颜色</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EGA088-红色</w:t>
      </w:r>
      <w:r>
        <w:rPr>
          <w:rFonts w:ascii="Arial Unicode MS" w:hAnsi="Arial Unicode MS" w:cs="Arial Unicode MS" w:eastAsia="Arial Unicode MS"/>
          <w:spacing w:val="0"/>
          <w:w w:val="100"/>
          <w:sz w:val="16"/>
          <w:szCs w:val="16"/>
        </w:rPr>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2738" w:space="1935"/>
            <w:col w:w="6067"/>
          </w:cols>
        </w:sectPr>
      </w:pPr>
    </w:p>
    <w:p>
      <w:pPr>
        <w:tabs>
          <w:tab w:pos="4660" w:val="left"/>
        </w:tabs>
        <w:spacing w:before="33" w:after="0" w:line="240" w:lineRule="auto"/>
        <w:ind w:left="2304"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面漆/光泽</w:t>
      </w:r>
      <w:r>
        <w:rPr>
          <w:rFonts w:ascii="Arial Unicode MS" w:hAnsi="Arial Unicode MS" w:cs="Arial Unicode MS" w:eastAsia="Arial Unicode MS"/>
          <w:spacing w:val="0"/>
          <w:w w:val="100"/>
          <w:sz w:val="22"/>
          <w:szCs w:val="22"/>
        </w:rPr>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不适用</w:t>
      </w:r>
      <w:r>
        <w:rPr>
          <w:rFonts w:ascii="Arial Unicode MS" w:hAnsi="Arial Unicode MS" w:cs="Arial Unicode MS" w:eastAsia="Arial Unicode MS"/>
          <w:spacing w:val="0"/>
          <w:w w:val="100"/>
          <w:position w:val="0"/>
          <w:sz w:val="16"/>
          <w:szCs w:val="16"/>
        </w:rPr>
      </w:r>
    </w:p>
    <w:p>
      <w:pPr>
        <w:tabs>
          <w:tab w:pos="4660" w:val="left"/>
        </w:tabs>
        <w:spacing w:before="0" w:after="0" w:line="349"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乙组份（固化剂）</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EGA089</w:t>
      </w:r>
      <w:r>
        <w:rPr>
          <w:rFonts w:ascii="Arial Unicode MS" w:hAnsi="Arial Unicode MS" w:cs="Arial Unicode MS" w:eastAsia="Arial Unicode MS"/>
          <w:spacing w:val="0"/>
          <w:w w:val="100"/>
          <w:position w:val="0"/>
          <w:sz w:val="16"/>
          <w:szCs w:val="16"/>
        </w:rPr>
      </w:r>
    </w:p>
    <w:p>
      <w:pPr>
        <w:spacing w:line="349"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0" w:after="0" w:line="366" w:lineRule="exact"/>
        <w:ind w:right="-2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体积固体份</w:t>
      </w:r>
      <w:r>
        <w:rPr>
          <w:rFonts w:ascii="Arial Unicode MS" w:hAnsi="Arial Unicode MS" w:cs="Arial Unicode MS" w:eastAsia="Arial Unicode MS"/>
          <w:spacing w:val="0"/>
          <w:w w:val="100"/>
          <w:position w:val="0"/>
          <w:sz w:val="22"/>
          <w:szCs w:val="22"/>
        </w:rPr>
      </w:r>
    </w:p>
    <w:p>
      <w:pPr>
        <w:spacing w:before="3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47％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3233:1998)</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8" w:space="1275"/>
            <w:col w:w="6067"/>
          </w:cols>
        </w:sectPr>
      </w:pPr>
    </w:p>
    <w:p>
      <w:pPr>
        <w:spacing w:before="6" w:after="0" w:line="160" w:lineRule="exact"/>
        <w:jc w:val="left"/>
        <w:rPr>
          <w:sz w:val="16"/>
          <w:szCs w:val="16"/>
        </w:rPr>
      </w:pPr>
      <w:r>
        <w:rPr>
          <w:sz w:val="16"/>
          <w:szCs w:val="16"/>
        </w:rPr>
      </w:r>
    </w:p>
    <w:p>
      <w:pPr>
        <w:tabs>
          <w:tab w:pos="4660" w:val="left"/>
        </w:tabs>
        <w:spacing w:before="0" w:after="0" w:line="28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混合比例</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甲组份：乙组份=4.00：1</w:t>
      </w:r>
      <w:r>
        <w:rPr>
          <w:rFonts w:ascii="Arial Unicode MS" w:hAnsi="Arial Unicode MS" w:cs="Arial Unicode MS" w:eastAsia="Arial Unicode MS"/>
          <w:spacing w:val="-18"/>
          <w:w w:val="100"/>
          <w:position w:val="4"/>
          <w:sz w:val="16"/>
          <w:szCs w:val="16"/>
        </w:rPr>
        <w:t> </w:t>
      </w:r>
      <w:r>
        <w:rPr>
          <w:rFonts w:ascii="Arial Unicode MS" w:hAnsi="Arial Unicode MS" w:cs="Arial Unicode MS" w:eastAsia="Arial Unicode MS"/>
          <w:spacing w:val="0"/>
          <w:w w:val="100"/>
          <w:position w:val="4"/>
          <w:sz w:val="16"/>
          <w:szCs w:val="16"/>
        </w:rPr>
        <w:t>(体积比)</w:t>
      </w:r>
      <w:r>
        <w:rPr>
          <w:rFonts w:ascii="Arial Unicode MS" w:hAnsi="Arial Unicode MS" w:cs="Arial Unicode MS" w:eastAsia="Arial Unicode MS"/>
          <w:spacing w:val="0"/>
          <w:w w:val="100"/>
          <w:position w:val="0"/>
          <w:sz w:val="16"/>
          <w:szCs w:val="16"/>
        </w:rPr>
      </w:r>
    </w:p>
    <w:p>
      <w:pPr>
        <w:spacing w:line="28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65" w:after="0" w:line="230" w:lineRule="auto"/>
        <w:ind w:left="2291"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标准膜厚</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理论涂布率</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施工方法</w:t>
      </w:r>
    </w:p>
    <w:p>
      <w:pPr>
        <w:spacing w:before="8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40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(85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微米湿膜厚)</w:t>
      </w:r>
    </w:p>
    <w:p>
      <w:pPr>
        <w:spacing w:before="24" w:after="0" w:line="370" w:lineRule="exact"/>
        <w:ind w:right="99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微米干膜厚时理论涂布率为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11.75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米²/公升，允许适当的损耗系数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无气喷涂,</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刷涂,</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传统型喷涂,</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漆辊</w:t>
      </w:r>
    </w:p>
    <w:p>
      <w:pPr>
        <w:spacing w:line="370"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2" w:space="1281"/>
            <w:col w:w="6067"/>
          </w:cols>
        </w:sectPr>
      </w:pPr>
    </w:p>
    <w:p>
      <w:pPr>
        <w:tabs>
          <w:tab w:pos="4660" w:val="left"/>
        </w:tabs>
        <w:spacing w:before="0" w:after="0" w:line="365"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闪点</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26°C;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乙组份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混合后</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26°C</w:t>
      </w:r>
      <w:r>
        <w:rPr>
          <w:rFonts w:ascii="Arial Unicode MS" w:hAnsi="Arial Unicode MS" w:cs="Arial Unicode MS" w:eastAsia="Arial Unicode MS"/>
          <w:spacing w:val="0"/>
          <w:w w:val="100"/>
          <w:position w:val="0"/>
          <w:sz w:val="16"/>
          <w:szCs w:val="16"/>
        </w:rPr>
      </w:r>
    </w:p>
    <w:p>
      <w:pPr>
        <w:tabs>
          <w:tab w:pos="4660" w:val="left"/>
        </w:tabs>
        <w:spacing w:before="0" w:after="0" w:line="371" w:lineRule="exact"/>
        <w:ind w:left="2291" w:right="-20"/>
        <w:jc w:val="left"/>
        <w:rPr>
          <w:rFonts w:ascii="Arial Unicode MS" w:hAnsi="Arial Unicode MS" w:cs="Arial Unicode MS" w:eastAsia="Arial Unicode MS"/>
          <w:sz w:val="16"/>
          <w:szCs w:val="16"/>
        </w:rPr>
      </w:pPr>
      <w:r>
        <w:rPr/>
        <w:pict>
          <v:group style="position:absolute;margin-left:145.570007pt;margin-top:31.397234pt;width:414.0pt;height:.1pt;mso-position-horizontal-relative:page;mso-position-vertical-relative:paragraph;z-index:-446" coordorigin="2911,628" coordsize="8280,2">
            <v:shape style="position:absolute;left:2911;top:628;width:8280;height:2" coordorigin="2911,628" coordsize="8280,0" path="m2911,628l11191,628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熟化时间</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不需要</w:t>
      </w:r>
      <w:r>
        <w:rPr>
          <w:rFonts w:ascii="Arial Unicode MS" w:hAnsi="Arial Unicode MS" w:cs="Arial Unicode MS" w:eastAsia="Arial Unicode MS"/>
          <w:spacing w:val="0"/>
          <w:w w:val="100"/>
          <w:position w:val="0"/>
          <w:sz w:val="16"/>
          <w:szCs w:val="16"/>
        </w:rPr>
      </w:r>
    </w:p>
    <w:p>
      <w:pPr>
        <w:spacing w:before="12" w:after="0" w:line="260" w:lineRule="exact"/>
        <w:jc w:val="left"/>
        <w:rPr>
          <w:sz w:val="26"/>
          <w:szCs w:val="26"/>
        </w:rPr>
      </w:pPr>
      <w:r>
        <w:rPr>
          <w:sz w:val="26"/>
          <w:szCs w:val="26"/>
        </w:rPr>
      </w:r>
    </w:p>
    <w:tbl>
      <w:tblPr>
        <w:tblW w:w="0" w:type="auto"/>
        <w:jc w:val="left"/>
        <w:tblInd w:w="2223" w:type="dxa"/>
        <w:tblLayout w:type="fixed"/>
        <w:tblCellMar>
          <w:top w:w="0" w:type="dxa"/>
          <w:left w:w="0" w:type="dxa"/>
          <w:bottom w:w="0" w:type="dxa"/>
          <w:right w:w="0" w:type="dxa"/>
        </w:tblCellMar>
        <w:tblLook w:val="01E0"/>
      </w:tblPr>
      <w:tblGrid/>
      <w:tr>
        <w:trPr>
          <w:trHeight w:val="453" w:hRule="exact"/>
        </w:trPr>
        <w:tc>
          <w:tcPr>
            <w:tcW w:w="2351" w:type="dxa"/>
            <w:tcBorders>
              <w:top w:val="nil" w:sz="6" w:space="0" w:color="auto"/>
              <w:left w:val="nil" w:sz="6" w:space="0" w:color="auto"/>
              <w:bottom w:val="nil" w:sz="6" w:space="0" w:color="auto"/>
              <w:right w:val="nil" w:sz="6" w:space="0" w:color="auto"/>
            </w:tcBorders>
          </w:tcPr>
          <w:p>
            <w:pPr>
              <w:spacing w:before="93"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干燥资料</w:t>
            </w:r>
          </w:p>
        </w:tc>
        <w:tc>
          <w:tcPr>
            <w:tcW w:w="1265" w:type="dxa"/>
            <w:tcBorders>
              <w:top w:val="single" w:sz="12" w:space="0" w:color="000000"/>
              <w:left w:val="nil" w:sz="6" w:space="0" w:color="auto"/>
              <w:bottom w:val="single" w:sz="4" w:space="0" w:color="000000"/>
              <w:right w:val="nil" w:sz="6" w:space="0" w:color="auto"/>
            </w:tcBorders>
          </w:tcPr>
          <w:p>
            <w:pPr>
              <w:spacing w:before="93" w:after="0" w:line="240" w:lineRule="auto"/>
              <w:ind w:left="397" w:right="55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5°C</w:t>
            </w:r>
            <w:r>
              <w:rPr>
                <w:rFonts w:ascii="Arial Unicode MS" w:hAnsi="Arial Unicode MS" w:cs="Arial Unicode MS" w:eastAsia="Arial Unicode MS"/>
                <w:spacing w:val="0"/>
                <w:w w:val="100"/>
                <w:sz w:val="14"/>
                <w:szCs w:val="14"/>
              </w:rPr>
            </w:r>
          </w:p>
        </w:tc>
        <w:tc>
          <w:tcPr>
            <w:tcW w:w="1440"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1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10°C</w:t>
            </w:r>
            <w:r>
              <w:rPr>
                <w:rFonts w:ascii="Arial Unicode MS" w:hAnsi="Arial Unicode MS" w:cs="Arial Unicode MS" w:eastAsia="Arial Unicode MS"/>
                <w:spacing w:val="0"/>
                <w:w w:val="100"/>
                <w:sz w:val="14"/>
                <w:szCs w:val="14"/>
              </w:rPr>
            </w:r>
          </w:p>
        </w:tc>
        <w:tc>
          <w:tcPr>
            <w:tcW w:w="1440"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1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25°C</w:t>
            </w:r>
            <w:r>
              <w:rPr>
                <w:rFonts w:ascii="Arial Unicode MS" w:hAnsi="Arial Unicode MS" w:cs="Arial Unicode MS" w:eastAsia="Arial Unicode MS"/>
                <w:spacing w:val="0"/>
                <w:w w:val="100"/>
                <w:sz w:val="14"/>
                <w:szCs w:val="14"/>
              </w:rPr>
            </w:r>
          </w:p>
        </w:tc>
        <w:tc>
          <w:tcPr>
            <w:tcW w:w="1435"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07"/>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35°C</w:t>
            </w:r>
            <w:r>
              <w:rPr>
                <w:rFonts w:ascii="Arial Unicode MS" w:hAnsi="Arial Unicode MS" w:cs="Arial Unicode MS" w:eastAsia="Arial Unicode MS"/>
                <w:spacing w:val="0"/>
                <w:w w:val="100"/>
                <w:sz w:val="14"/>
                <w:szCs w:val="14"/>
              </w:rPr>
            </w:r>
          </w:p>
        </w:tc>
      </w:tr>
      <w:tr>
        <w:trPr>
          <w:trHeight w:val="826" w:hRule="exact"/>
        </w:trPr>
        <w:tc>
          <w:tcPr>
            <w:tcW w:w="2351" w:type="dxa"/>
            <w:tcBorders>
              <w:top w:val="nil" w:sz="6" w:space="0" w:color="auto"/>
              <w:left w:val="nil" w:sz="6" w:space="0" w:color="auto"/>
              <w:bottom w:val="nil" w:sz="6" w:space="0" w:color="auto"/>
              <w:right w:val="nil" w:sz="6" w:space="0" w:color="auto"/>
            </w:tcBorders>
          </w:tcPr>
          <w:p>
            <w:pPr>
              <w:spacing w:before="3" w:after="0" w:line="242" w:lineRule="auto"/>
              <w:ind w:left="50" w:right="1063"/>
              <w:jc w:val="both"/>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表干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1517:73]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硬干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9117:90]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凝胶时间</w:t>
            </w:r>
          </w:p>
        </w:tc>
        <w:tc>
          <w:tcPr>
            <w:tcW w:w="1265" w:type="dxa"/>
            <w:tcBorders>
              <w:top w:val="single" w:sz="4" w:space="0" w:color="000000"/>
              <w:left w:val="nil" w:sz="6" w:space="0" w:color="auto"/>
              <w:bottom w:val="nil" w:sz="6" w:space="0" w:color="auto"/>
              <w:right w:val="nil" w:sz="6" w:space="0" w:color="auto"/>
            </w:tcBorders>
          </w:tcPr>
          <w:p>
            <w:pPr>
              <w:spacing w:before="3"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0" w:type="dxa"/>
            <w:tcBorders>
              <w:top w:val="single" w:sz="4" w:space="0" w:color="000000"/>
              <w:left w:val="nil" w:sz="6" w:space="0" w:color="auto"/>
              <w:bottom w:val="nil" w:sz="6" w:space="0" w:color="auto"/>
              <w:right w:val="nil" w:sz="6" w:space="0" w:color="auto"/>
            </w:tcBorders>
          </w:tcPr>
          <w:p>
            <w:pPr>
              <w:spacing w:before="3"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0" w:type="dxa"/>
            <w:tcBorders>
              <w:top w:val="single" w:sz="4" w:space="0" w:color="000000"/>
              <w:left w:val="nil" w:sz="6" w:space="0" w:color="auto"/>
              <w:bottom w:val="nil" w:sz="6" w:space="0" w:color="auto"/>
              <w:right w:val="nil" w:sz="6" w:space="0" w:color="auto"/>
            </w:tcBorders>
          </w:tcPr>
          <w:p>
            <w:pPr>
              <w:spacing w:before="3"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35" w:type="dxa"/>
            <w:tcBorders>
              <w:top w:val="single" w:sz="4" w:space="0" w:color="000000"/>
              <w:left w:val="nil" w:sz="6" w:space="0" w:color="auto"/>
              <w:bottom w:val="nil" w:sz="6" w:space="0" w:color="auto"/>
              <w:right w:val="nil" w:sz="6" w:space="0" w:color="auto"/>
            </w:tcBorders>
          </w:tcPr>
          <w:p>
            <w:pPr>
              <w:spacing w:before="3" w:after="0" w:line="240" w:lineRule="auto"/>
              <w:ind w:left="452" w:right="42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490"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bl>
    <w:p>
      <w:pPr>
        <w:tabs>
          <w:tab w:pos="6520" w:val="left"/>
        </w:tabs>
        <w:spacing w:before="55" w:after="0" w:line="374" w:lineRule="exact"/>
        <w:ind w:left="2291"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复涂数据－见“限定”一节</w:t>
        <w:tab/>
      </w:r>
      <w:r>
        <w:rPr>
          <w:rFonts w:ascii="Arial Unicode MS" w:hAnsi="Arial Unicode MS" w:cs="Arial Unicode MS" w:eastAsia="Arial Unicode MS"/>
          <w:spacing w:val="0"/>
          <w:w w:val="100"/>
          <w:position w:val="-1"/>
          <w:sz w:val="22"/>
          <w:szCs w:val="22"/>
        </w:rPr>
        <w:t>底材温度</w:t>
      </w:r>
      <w:r>
        <w:rPr>
          <w:rFonts w:ascii="Arial Unicode MS" w:hAnsi="Arial Unicode MS" w:cs="Arial Unicode MS" w:eastAsia="Arial Unicode MS"/>
          <w:spacing w:val="0"/>
          <w:w w:val="100"/>
          <w:position w:val="0"/>
          <w:sz w:val="22"/>
          <w:szCs w:val="22"/>
        </w:rPr>
      </w:r>
    </w:p>
    <w:p>
      <w:pPr>
        <w:tabs>
          <w:tab w:pos="6400" w:val="left"/>
          <w:tab w:pos="7840" w:val="left"/>
          <w:tab w:pos="9280" w:val="left"/>
        </w:tabs>
        <w:spacing w:before="0" w:after="0" w:line="133" w:lineRule="exact"/>
        <w:ind w:left="500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10°C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35°C</w:t>
      </w:r>
      <w:r>
        <w:rPr>
          <w:rFonts w:ascii="Arial Unicode MS" w:hAnsi="Arial Unicode MS" w:cs="Arial Unicode MS" w:eastAsia="Arial Unicode MS"/>
          <w:spacing w:val="0"/>
          <w:w w:val="100"/>
          <w:sz w:val="14"/>
          <w:szCs w:val="14"/>
        </w:rPr>
      </w:r>
    </w:p>
    <w:p>
      <w:pPr>
        <w:spacing w:line="133" w:lineRule="exact" w:after="0"/>
        <w:jc w:val="left"/>
        <w:rPr>
          <w:rFonts w:ascii="Arial Unicode MS" w:hAnsi="Arial Unicode MS" w:cs="Arial Unicode MS" w:eastAsia="Arial Unicode MS"/>
          <w:sz w:val="14"/>
          <w:szCs w:val="14"/>
        </w:rPr>
        <w:sectPr>
          <w:type w:val="continuous"/>
          <w:pgSz w:w="11900" w:h="16820"/>
          <w:pgMar w:top="1040" w:bottom="1780" w:left="620" w:right="540"/>
        </w:sectPr>
      </w:pPr>
    </w:p>
    <w:p>
      <w:pPr>
        <w:spacing w:before="66" w:after="0" w:line="233" w:lineRule="exact"/>
        <w:ind w:right="-20"/>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复涂下列产品时</w:t>
      </w:r>
      <w:r>
        <w:rPr>
          <w:rFonts w:ascii="Arial Unicode MS" w:hAnsi="Arial Unicode MS" w:cs="Arial Unicode MS" w:eastAsia="Arial Unicode MS"/>
          <w:spacing w:val="0"/>
          <w:w w:val="100"/>
          <w:position w:val="0"/>
          <w:sz w:val="14"/>
          <w:szCs w:val="14"/>
        </w:rPr>
      </w:r>
    </w:p>
    <w:p>
      <w:pPr>
        <w:tabs>
          <w:tab w:pos="720" w:val="left"/>
          <w:tab w:pos="1440" w:val="left"/>
          <w:tab w:pos="2160" w:val="left"/>
          <w:tab w:pos="2880" w:val="left"/>
          <w:tab w:pos="3600" w:val="left"/>
          <w:tab w:pos="4320" w:val="left"/>
          <w:tab w:pos="5040" w:val="left"/>
        </w:tabs>
        <w:spacing w:before="37" w:after="0" w:line="240" w:lineRule="auto"/>
        <w:ind w:right="-20"/>
        <w:jc w:val="left"/>
        <w:rPr>
          <w:rFonts w:ascii="Arial Unicode MS" w:hAnsi="Arial Unicode MS" w:cs="Arial Unicode MS" w:eastAsia="Arial Unicode MS"/>
          <w:sz w:val="14"/>
          <w:szCs w:val="14"/>
        </w:rPr>
      </w:pPr>
      <w:r>
        <w:rPr/>
        <w:br w:type="column"/>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r>
    </w:p>
    <w:p>
      <w:pPr>
        <w:spacing w:line="240" w:lineRule="auto" w:after="0"/>
        <w:jc w:val="left"/>
        <w:rPr>
          <w:rFonts w:ascii="Arial Unicode MS" w:hAnsi="Arial Unicode MS" w:cs="Arial Unicode MS" w:eastAsia="Arial Unicode MS"/>
          <w:sz w:val="14"/>
          <w:szCs w:val="14"/>
        </w:rPr>
        <w:sectPr>
          <w:type w:val="continuous"/>
          <w:pgSz w:w="11900" w:h="16820"/>
          <w:pgMar w:top="1040" w:bottom="1780" w:left="620" w:right="540"/>
          <w:cols w:num="2" w:equalWidth="0">
            <w:col w:w="3215" w:space="1404"/>
            <w:col w:w="6121"/>
          </w:cols>
        </w:sectPr>
      </w:pPr>
    </w:p>
    <w:p>
      <w:pPr>
        <w:spacing w:before="6" w:after="0" w:line="180" w:lineRule="exact"/>
        <w:jc w:val="left"/>
        <w:rPr>
          <w:sz w:val="18"/>
          <w:szCs w:val="18"/>
        </w:rPr>
      </w:pPr>
      <w:r>
        <w:rPr>
          <w:sz w:val="18"/>
          <w:szCs w:val="18"/>
        </w:rPr>
      </w:r>
    </w:p>
    <w:tbl>
      <w:tblPr>
        <w:tblW w:w="0" w:type="auto"/>
        <w:jc w:val="left"/>
        <w:tblInd w:w="2194" w:type="dxa"/>
        <w:tblLayout w:type="fixed"/>
        <w:tblCellMar>
          <w:top w:w="0" w:type="dxa"/>
          <w:left w:w="0" w:type="dxa"/>
          <w:bottom w:w="0" w:type="dxa"/>
          <w:right w:w="0" w:type="dxa"/>
        </w:tblCellMar>
        <w:tblLook w:val="01E0"/>
      </w:tblPr>
      <w:tblGrid/>
      <w:tr>
        <w:trPr>
          <w:trHeight w:val="286" w:hRule="exact"/>
        </w:trPr>
        <w:tc>
          <w:tcPr>
            <w:tcW w:w="1643" w:type="dxa"/>
            <w:tcBorders>
              <w:top w:val="nil" w:sz="6" w:space="0" w:color="auto"/>
              <w:left w:val="nil" w:sz="6" w:space="0" w:color="auto"/>
              <w:bottom w:val="nil" w:sz="6" w:space="0" w:color="auto"/>
              <w:right w:val="nil" w:sz="6" w:space="0" w:color="auto"/>
            </w:tcBorders>
          </w:tcPr>
          <w:p>
            <w:pPr>
              <w:spacing w:before="1"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Intershield</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300</w:t>
            </w:r>
          </w:p>
        </w:tc>
        <w:tc>
          <w:tcPr>
            <w:tcW w:w="1316" w:type="dxa"/>
            <w:tcBorders>
              <w:top w:val="nil" w:sz="6" w:space="0" w:color="auto"/>
              <w:left w:val="nil" w:sz="6" w:space="0" w:color="auto"/>
              <w:bottom w:val="nil" w:sz="6" w:space="0" w:color="auto"/>
              <w:right w:val="nil" w:sz="6" w:space="0" w:color="auto"/>
            </w:tcBorders>
          </w:tcPr>
          <w:p>
            <w:pPr>
              <w:spacing w:before="1" w:after="0" w:line="240" w:lineRule="auto"/>
              <w:ind w:left="6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single" w:sz="4" w:space="0" w:color="000000"/>
              <w:left w:val="nil" w:sz="6" w:space="0" w:color="auto"/>
              <w:bottom w:val="nil" w:sz="6" w:space="0" w:color="auto"/>
              <w:right w:val="nil" w:sz="6" w:space="0" w:color="auto"/>
            </w:tcBorders>
          </w:tcPr>
          <w:p>
            <w:pPr>
              <w:spacing w:before="1" w:after="0" w:line="240" w:lineRule="auto"/>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90" w:type="dxa"/>
            <w:tcBorders>
              <w:top w:val="single" w:sz="4" w:space="0" w:color="000000"/>
              <w:left w:val="nil" w:sz="6" w:space="0" w:color="auto"/>
              <w:bottom w:val="nil" w:sz="6" w:space="0" w:color="auto"/>
              <w:right w:val="nil" w:sz="6" w:space="0" w:color="auto"/>
            </w:tcBorders>
          </w:tcPr>
          <w:p>
            <w:pPr>
              <w:spacing w:before="1" w:after="0" w:line="240" w:lineRule="auto"/>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single" w:sz="4" w:space="0" w:color="000000"/>
              <w:left w:val="nil" w:sz="6" w:space="0" w:color="auto"/>
              <w:bottom w:val="nil" w:sz="6" w:space="0" w:color="auto"/>
              <w:right w:val="nil" w:sz="6" w:space="0" w:color="auto"/>
            </w:tcBorders>
          </w:tcPr>
          <w:p>
            <w:pPr>
              <w:spacing w:before="1" w:after="0" w:line="240" w:lineRule="auto"/>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51" w:type="dxa"/>
            <w:tcBorders>
              <w:top w:val="single" w:sz="4" w:space="0" w:color="000000"/>
              <w:left w:val="nil" w:sz="6" w:space="0" w:color="auto"/>
              <w:bottom w:val="nil" w:sz="6" w:space="0" w:color="auto"/>
              <w:right w:val="nil" w:sz="6" w:space="0" w:color="auto"/>
            </w:tcBorders>
          </w:tcPr>
          <w:p>
            <w:pPr>
              <w:spacing w:before="1" w:after="0" w:line="240" w:lineRule="auto"/>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single" w:sz="4" w:space="0" w:color="000000"/>
              <w:left w:val="nil" w:sz="6" w:space="0" w:color="auto"/>
              <w:bottom w:val="nil" w:sz="6" w:space="0" w:color="auto"/>
              <w:right w:val="nil" w:sz="6" w:space="0" w:color="auto"/>
            </w:tcBorders>
          </w:tcPr>
          <w:p>
            <w:pPr>
              <w:spacing w:before="1" w:after="0" w:line="240" w:lineRule="auto"/>
              <w:ind w:left="2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70" w:type="dxa"/>
            <w:tcBorders>
              <w:top w:val="single" w:sz="4" w:space="0" w:color="000000"/>
              <w:left w:val="nil" w:sz="6" w:space="0" w:color="auto"/>
              <w:bottom w:val="nil" w:sz="6" w:space="0" w:color="auto"/>
              <w:right w:val="nil" w:sz="6" w:space="0" w:color="auto"/>
            </w:tcBorders>
          </w:tcPr>
          <w:p>
            <w:pPr>
              <w:spacing w:before="1" w:after="0" w:line="240" w:lineRule="auto"/>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593" w:type="dxa"/>
            <w:tcBorders>
              <w:top w:val="single" w:sz="4" w:space="0" w:color="000000"/>
              <w:left w:val="nil" w:sz="6" w:space="0" w:color="auto"/>
              <w:bottom w:val="nil" w:sz="6" w:space="0" w:color="auto"/>
              <w:right w:val="nil" w:sz="6" w:space="0" w:color="auto"/>
            </w:tcBorders>
          </w:tcPr>
          <w:p>
            <w:pPr>
              <w:spacing w:before="1" w:after="0" w:line="240" w:lineRule="auto"/>
              <w:ind w:left="21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r>
      <w:tr>
        <w:trPr>
          <w:trHeight w:val="245" w:hRule="exact"/>
        </w:trPr>
        <w:tc>
          <w:tcPr>
            <w:tcW w:w="1643"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Interthane</w:t>
            </w:r>
            <w:r>
              <w:rPr>
                <w:rFonts w:ascii="Arial Unicode MS" w:hAnsi="Arial Unicode MS" w:cs="Arial Unicode MS" w:eastAsia="Arial Unicode MS"/>
                <w:spacing w:val="-6"/>
                <w:w w:val="100"/>
                <w:sz w:val="14"/>
                <w:szCs w:val="14"/>
              </w:rPr>
              <w:t> </w:t>
            </w:r>
            <w:r>
              <w:rPr>
                <w:rFonts w:ascii="Arial Unicode MS" w:hAnsi="Arial Unicode MS" w:cs="Arial Unicode MS" w:eastAsia="Arial Unicode MS"/>
                <w:spacing w:val="0"/>
                <w:w w:val="100"/>
                <w:sz w:val="14"/>
                <w:szCs w:val="14"/>
              </w:rPr>
              <w:t>990</w:t>
            </w:r>
          </w:p>
        </w:tc>
        <w:tc>
          <w:tcPr>
            <w:tcW w:w="1316" w:type="dxa"/>
            <w:tcBorders>
              <w:top w:val="nil" w:sz="6" w:space="0" w:color="auto"/>
              <w:left w:val="nil" w:sz="6" w:space="0" w:color="auto"/>
              <w:bottom w:val="nil" w:sz="6" w:space="0" w:color="auto"/>
              <w:right w:val="nil" w:sz="6" w:space="0" w:color="auto"/>
            </w:tcBorders>
          </w:tcPr>
          <w:p>
            <w:pPr>
              <w:spacing w:before="0" w:after="0" w:line="202" w:lineRule="exact"/>
              <w:ind w:left="6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15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16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770"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593" w:type="dxa"/>
            <w:tcBorders>
              <w:top w:val="nil" w:sz="6" w:space="0" w:color="auto"/>
              <w:left w:val="nil" w:sz="6" w:space="0" w:color="auto"/>
              <w:bottom w:val="nil" w:sz="6" w:space="0" w:color="auto"/>
              <w:right w:val="nil" w:sz="6" w:space="0" w:color="auto"/>
            </w:tcBorders>
          </w:tcPr>
          <w:p>
            <w:pPr>
              <w:spacing w:before="0" w:after="0" w:line="202" w:lineRule="exact"/>
              <w:ind w:left="19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r>
      <w:tr>
        <w:trPr>
          <w:trHeight w:val="245" w:hRule="exact"/>
        </w:trPr>
        <w:tc>
          <w:tcPr>
            <w:tcW w:w="1643"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Intertuf</w:t>
            </w:r>
            <w:r>
              <w:rPr>
                <w:rFonts w:ascii="Arial Unicode MS" w:hAnsi="Arial Unicode MS" w:cs="Arial Unicode MS" w:eastAsia="Arial Unicode MS"/>
                <w:spacing w:val="-4"/>
                <w:w w:val="100"/>
                <w:sz w:val="14"/>
                <w:szCs w:val="14"/>
              </w:rPr>
              <w:t> </w:t>
            </w:r>
            <w:r>
              <w:rPr>
                <w:rFonts w:ascii="Arial Unicode MS" w:hAnsi="Arial Unicode MS" w:cs="Arial Unicode MS" w:eastAsia="Arial Unicode MS"/>
                <w:spacing w:val="0"/>
                <w:w w:val="100"/>
                <w:sz w:val="14"/>
                <w:szCs w:val="14"/>
              </w:rPr>
              <w:t>262</w:t>
            </w:r>
          </w:p>
        </w:tc>
        <w:tc>
          <w:tcPr>
            <w:tcW w:w="1316" w:type="dxa"/>
            <w:tcBorders>
              <w:top w:val="nil" w:sz="6" w:space="0" w:color="auto"/>
              <w:left w:val="nil" w:sz="6" w:space="0" w:color="auto"/>
              <w:bottom w:val="nil" w:sz="6" w:space="0" w:color="auto"/>
              <w:right w:val="nil" w:sz="6" w:space="0" w:color="auto"/>
            </w:tcBorders>
          </w:tcPr>
          <w:p>
            <w:pPr>
              <w:spacing w:before="0" w:after="0" w:line="202" w:lineRule="exact"/>
              <w:ind w:left="6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2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70"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593" w:type="dxa"/>
            <w:tcBorders>
              <w:top w:val="nil" w:sz="6" w:space="0" w:color="auto"/>
              <w:left w:val="nil" w:sz="6" w:space="0" w:color="auto"/>
              <w:bottom w:val="nil" w:sz="6" w:space="0" w:color="auto"/>
              <w:right w:val="nil" w:sz="6" w:space="0" w:color="auto"/>
            </w:tcBorders>
          </w:tcPr>
          <w:p>
            <w:pPr>
              <w:spacing w:before="0" w:after="0" w:line="202" w:lineRule="exact"/>
              <w:ind w:left="21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r>
      <w:tr>
        <w:trPr>
          <w:trHeight w:val="292" w:hRule="exact"/>
        </w:trPr>
        <w:tc>
          <w:tcPr>
            <w:tcW w:w="1643" w:type="dxa"/>
            <w:tcBorders>
              <w:top w:val="nil" w:sz="6" w:space="0" w:color="auto"/>
              <w:left w:val="nil" w:sz="6" w:space="0" w:color="auto"/>
              <w:bottom w:val="nil" w:sz="6" w:space="0" w:color="auto"/>
              <w:right w:val="nil" w:sz="6" w:space="0" w:color="auto"/>
            </w:tcBorders>
          </w:tcPr>
          <w:p>
            <w:pPr>
              <w:spacing w:before="0" w:after="0" w:line="202"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Intertuf</w:t>
            </w:r>
            <w:r>
              <w:rPr>
                <w:rFonts w:ascii="Arial Unicode MS" w:hAnsi="Arial Unicode MS" w:cs="Arial Unicode MS" w:eastAsia="Arial Unicode MS"/>
                <w:spacing w:val="-4"/>
                <w:w w:val="100"/>
                <w:sz w:val="14"/>
                <w:szCs w:val="14"/>
              </w:rPr>
              <w:t> </w:t>
            </w:r>
            <w:r>
              <w:rPr>
                <w:rFonts w:ascii="Arial Unicode MS" w:hAnsi="Arial Unicode MS" w:cs="Arial Unicode MS" w:eastAsia="Arial Unicode MS"/>
                <w:spacing w:val="0"/>
                <w:w w:val="100"/>
                <w:sz w:val="14"/>
                <w:szCs w:val="14"/>
              </w:rPr>
              <w:t>362</w:t>
            </w:r>
          </w:p>
        </w:tc>
        <w:tc>
          <w:tcPr>
            <w:tcW w:w="1316" w:type="dxa"/>
            <w:tcBorders>
              <w:top w:val="nil" w:sz="6" w:space="0" w:color="auto"/>
              <w:left w:val="nil" w:sz="6" w:space="0" w:color="auto"/>
              <w:bottom w:val="nil" w:sz="6" w:space="0" w:color="auto"/>
              <w:right w:val="nil" w:sz="6" w:space="0" w:color="auto"/>
            </w:tcBorders>
          </w:tcPr>
          <w:p>
            <w:pPr>
              <w:spacing w:before="0" w:after="0" w:line="202" w:lineRule="exact"/>
              <w:ind w:left="6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50" w:type="dxa"/>
            <w:tcBorders>
              <w:top w:val="nil" w:sz="6" w:space="0" w:color="auto"/>
              <w:left w:val="nil" w:sz="6" w:space="0" w:color="auto"/>
              <w:bottom w:val="nil" w:sz="6" w:space="0" w:color="auto"/>
              <w:right w:val="nil" w:sz="6" w:space="0" w:color="auto"/>
            </w:tcBorders>
          </w:tcPr>
          <w:p>
            <w:pPr>
              <w:spacing w:before="0" w:after="0" w:line="202" w:lineRule="exact"/>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90" w:type="dxa"/>
            <w:tcBorders>
              <w:top w:val="nil" w:sz="6" w:space="0" w:color="auto"/>
              <w:left w:val="nil" w:sz="6" w:space="0" w:color="auto"/>
              <w:bottom w:val="nil" w:sz="6" w:space="0" w:color="auto"/>
              <w:right w:val="nil" w:sz="6" w:space="0" w:color="auto"/>
            </w:tcBorders>
          </w:tcPr>
          <w:p>
            <w:pPr>
              <w:spacing w:before="0" w:after="0" w:line="202" w:lineRule="exact"/>
              <w:ind w:left="1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78" w:type="dxa"/>
            <w:tcBorders>
              <w:top w:val="nil" w:sz="6" w:space="0" w:color="auto"/>
              <w:left w:val="nil" w:sz="6" w:space="0" w:color="auto"/>
              <w:bottom w:val="nil" w:sz="6" w:space="0" w:color="auto"/>
              <w:right w:val="nil" w:sz="6" w:space="0" w:color="auto"/>
            </w:tcBorders>
          </w:tcPr>
          <w:p>
            <w:pPr>
              <w:spacing w:before="0" w:after="0" w:line="202" w:lineRule="exact"/>
              <w:ind w:left="21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51" w:type="dxa"/>
            <w:tcBorders>
              <w:top w:val="nil" w:sz="6" w:space="0" w:color="auto"/>
              <w:left w:val="nil" w:sz="6" w:space="0" w:color="auto"/>
              <w:bottom w:val="nil" w:sz="6" w:space="0" w:color="auto"/>
              <w:right w:val="nil" w:sz="6" w:space="0" w:color="auto"/>
            </w:tcBorders>
          </w:tcPr>
          <w:p>
            <w:pPr>
              <w:spacing w:before="0" w:after="0" w:line="202" w:lineRule="exact"/>
              <w:ind w:left="18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680" w:type="dxa"/>
            <w:tcBorders>
              <w:top w:val="nil" w:sz="6" w:space="0" w:color="auto"/>
              <w:left w:val="nil" w:sz="6" w:space="0" w:color="auto"/>
              <w:bottom w:val="nil" w:sz="6" w:space="0" w:color="auto"/>
              <w:right w:val="nil" w:sz="6" w:space="0" w:color="auto"/>
            </w:tcBorders>
          </w:tcPr>
          <w:p>
            <w:pPr>
              <w:spacing w:before="0" w:after="0" w:line="202" w:lineRule="exact"/>
              <w:ind w:left="2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c>
          <w:tcPr>
            <w:tcW w:w="770" w:type="dxa"/>
            <w:tcBorders>
              <w:top w:val="nil" w:sz="6" w:space="0" w:color="auto"/>
              <w:left w:val="nil" w:sz="6" w:space="0" w:color="auto"/>
              <w:bottom w:val="nil" w:sz="6" w:space="0" w:color="auto"/>
              <w:right w:val="nil" w:sz="6" w:space="0" w:color="auto"/>
            </w:tcBorders>
          </w:tcPr>
          <w:p>
            <w:pPr>
              <w:spacing w:before="0" w:after="0" w:line="202" w:lineRule="exact"/>
              <w:ind w:left="17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593" w:type="dxa"/>
            <w:tcBorders>
              <w:top w:val="nil" w:sz="6" w:space="0" w:color="auto"/>
              <w:left w:val="nil" w:sz="6" w:space="0" w:color="auto"/>
              <w:bottom w:val="nil" w:sz="6" w:space="0" w:color="auto"/>
              <w:right w:val="nil" w:sz="6" w:space="0" w:color="auto"/>
            </w:tcBorders>
          </w:tcPr>
          <w:p>
            <w:pPr>
              <w:spacing w:before="0" w:after="0" w:line="202" w:lineRule="exact"/>
              <w:ind w:left="21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不限</w:t>
            </w:r>
          </w:p>
        </w:tc>
      </w:tr>
    </w:tbl>
    <w:p>
      <w:pPr>
        <w:spacing w:before="53" w:after="0" w:line="233" w:lineRule="exact"/>
        <w:ind w:left="2235" w:right="-20"/>
        <w:jc w:val="left"/>
        <w:rPr>
          <w:rFonts w:ascii="Arial Unicode MS" w:hAnsi="Arial Unicode MS" w:cs="Arial Unicode MS" w:eastAsia="Arial Unicode MS"/>
          <w:sz w:val="14"/>
          <w:szCs w:val="14"/>
        </w:rPr>
      </w:pPr>
      <w:r>
        <w:rPr/>
        <w:pict>
          <v:group style="position:absolute;margin-left:144.770004pt;margin-top:24.073256pt;width:411.75pt;height:.140pt;mso-position-horizontal-relative:page;mso-position-vertical-relative:paragraph;z-index:-447" coordorigin="2895,481" coordsize="8235,3">
            <v:shape style="position:absolute;left:2895;top:481;width:8235;height:3" coordorigin="2895,481" coordsize="8235,3" path="m2895,481l11130,484e" filled="f" stroked="t" strokeweight="1.5pt" strokecolor="#000000">
              <v:path arrowok="t"/>
            </v:shape>
            <w10:wrap type="none"/>
          </v:group>
        </w:pict>
      </w:r>
      <w:r>
        <w:rPr>
          <w:rFonts w:ascii="Arial Unicode MS" w:hAnsi="Arial Unicode MS" w:cs="Arial Unicode MS" w:eastAsia="Arial Unicode MS"/>
          <w:spacing w:val="0"/>
          <w:w w:val="100"/>
          <w:position w:val="-1"/>
          <w:sz w:val="14"/>
          <w:szCs w:val="14"/>
        </w:rPr>
        <w:t>注解</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14"/>
          <w:w w:val="100"/>
          <w:position w:val="-1"/>
          <w:sz w:val="14"/>
          <w:szCs w:val="14"/>
        </w:rPr>
        <w:t> </w:t>
      </w:r>
      <w:r>
        <w:rPr>
          <w:rFonts w:ascii="Arial Unicode MS" w:hAnsi="Arial Unicode MS" w:cs="Arial Unicode MS" w:eastAsia="Arial Unicode MS"/>
          <w:spacing w:val="0"/>
          <w:w w:val="100"/>
          <w:position w:val="-1"/>
          <w:sz w:val="14"/>
          <w:szCs w:val="14"/>
        </w:rPr>
        <w:t>对于所有其它</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Intergard,</w:t>
      </w:r>
      <w:r>
        <w:rPr>
          <w:rFonts w:ascii="Arial Unicode MS" w:hAnsi="Arial Unicode MS" w:cs="Arial Unicode MS" w:eastAsia="Arial Unicode MS"/>
          <w:spacing w:val="-6"/>
          <w:w w:val="100"/>
          <w:position w:val="-1"/>
          <w:sz w:val="14"/>
          <w:szCs w:val="14"/>
        </w:rPr>
        <w:t> </w:t>
      </w:r>
      <w:r>
        <w:rPr>
          <w:rFonts w:ascii="Arial Unicode MS" w:hAnsi="Arial Unicode MS" w:cs="Arial Unicode MS" w:eastAsia="Arial Unicode MS"/>
          <w:spacing w:val="0"/>
          <w:w w:val="100"/>
          <w:position w:val="-1"/>
          <w:sz w:val="14"/>
          <w:szCs w:val="14"/>
        </w:rPr>
        <w:t>Intertuf,</w:t>
      </w:r>
      <w:r>
        <w:rPr>
          <w:rFonts w:ascii="Arial Unicode MS" w:hAnsi="Arial Unicode MS" w:cs="Arial Unicode MS" w:eastAsia="Arial Unicode MS"/>
          <w:spacing w:val="-5"/>
          <w:w w:val="100"/>
          <w:position w:val="-1"/>
          <w:sz w:val="14"/>
          <w:szCs w:val="14"/>
        </w:rPr>
        <w:t> </w:t>
      </w:r>
      <w:r>
        <w:rPr>
          <w:rFonts w:ascii="Arial Unicode MS" w:hAnsi="Arial Unicode MS" w:cs="Arial Unicode MS" w:eastAsia="Arial Unicode MS"/>
          <w:spacing w:val="0"/>
          <w:w w:val="100"/>
          <w:position w:val="-1"/>
          <w:sz w:val="14"/>
          <w:szCs w:val="14"/>
        </w:rPr>
        <w:t>Interbond</w:t>
      </w:r>
      <w:r>
        <w:rPr>
          <w:rFonts w:ascii="Arial Unicode MS" w:hAnsi="Arial Unicode MS" w:cs="Arial Unicode MS" w:eastAsia="Arial Unicode MS"/>
          <w:spacing w:val="-6"/>
          <w:w w:val="100"/>
          <w:position w:val="-1"/>
          <w:sz w:val="14"/>
          <w:szCs w:val="14"/>
        </w:rPr>
        <w:t> </w:t>
      </w:r>
      <w:r>
        <w:rPr>
          <w:rFonts w:ascii="Arial Unicode MS" w:hAnsi="Arial Unicode MS" w:cs="Arial Unicode MS" w:eastAsia="Arial Unicode MS"/>
          <w:spacing w:val="0"/>
          <w:w w:val="100"/>
          <w:position w:val="-1"/>
          <w:sz w:val="14"/>
          <w:szCs w:val="14"/>
        </w:rPr>
        <w:t>和</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Interprime</w:t>
      </w:r>
      <w:r>
        <w:rPr>
          <w:rFonts w:ascii="Arial Unicode MS" w:hAnsi="Arial Unicode MS" w:cs="Arial Unicode MS" w:eastAsia="Arial Unicode MS"/>
          <w:spacing w:val="-6"/>
          <w:w w:val="100"/>
          <w:position w:val="-1"/>
          <w:sz w:val="14"/>
          <w:szCs w:val="14"/>
        </w:rPr>
        <w:t> </w:t>
      </w:r>
      <w:r>
        <w:rPr>
          <w:rFonts w:ascii="Arial Unicode MS" w:hAnsi="Arial Unicode MS" w:cs="Arial Unicode MS" w:eastAsia="Arial Unicode MS"/>
          <w:spacing w:val="0"/>
          <w:w w:val="100"/>
          <w:position w:val="-1"/>
          <w:sz w:val="14"/>
          <w:szCs w:val="14"/>
        </w:rPr>
        <w:t>产品的复涂间隔，请参照上面的</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Intuf</w:t>
      </w:r>
      <w:r>
        <w:rPr>
          <w:rFonts w:ascii="Arial Unicode MS" w:hAnsi="Arial Unicode MS" w:cs="Arial Unicode MS" w:eastAsia="Arial Unicode MS"/>
          <w:spacing w:val="-3"/>
          <w:w w:val="100"/>
          <w:position w:val="-1"/>
          <w:sz w:val="14"/>
          <w:szCs w:val="14"/>
        </w:rPr>
        <w:t> </w:t>
      </w:r>
      <w:r>
        <w:rPr>
          <w:rFonts w:ascii="Arial Unicode MS" w:hAnsi="Arial Unicode MS" w:cs="Arial Unicode MS" w:eastAsia="Arial Unicode MS"/>
          <w:spacing w:val="0"/>
          <w:w w:val="100"/>
          <w:position w:val="-1"/>
          <w:sz w:val="14"/>
          <w:szCs w:val="14"/>
        </w:rPr>
        <w:t>262。</w:t>
      </w:r>
      <w:r>
        <w:rPr>
          <w:rFonts w:ascii="Arial Unicode MS" w:hAnsi="Arial Unicode MS" w:cs="Arial Unicode MS" w:eastAsia="Arial Unicode MS"/>
          <w:spacing w:val="0"/>
          <w:w w:val="100"/>
          <w:position w:val="0"/>
          <w:sz w:val="14"/>
          <w:szCs w:val="14"/>
        </w:rPr>
      </w:r>
    </w:p>
    <w:p>
      <w:pPr>
        <w:spacing w:before="8" w:after="0" w:line="280" w:lineRule="exact"/>
        <w:jc w:val="left"/>
        <w:rPr>
          <w:sz w:val="28"/>
          <w:szCs w:val="28"/>
        </w:rPr>
      </w:pPr>
      <w:r>
        <w:rPr>
          <w:sz w:val="28"/>
          <w:szCs w:val="28"/>
        </w:rPr>
      </w:r>
    </w:p>
    <w:p>
      <w:pPr>
        <w:spacing w:line="280" w:lineRule="exact" w:after="0"/>
        <w:jc w:val="left"/>
        <w:rPr>
          <w:sz w:val="28"/>
          <w:szCs w:val="28"/>
        </w:rPr>
        <w:sectPr>
          <w:type w:val="continuous"/>
          <w:pgSz w:w="11900" w:h="16820"/>
          <w:pgMar w:top="1040" w:bottom="1780" w:left="620" w:right="540"/>
        </w:sectPr>
      </w:pPr>
    </w:p>
    <w:p>
      <w:pPr>
        <w:tabs>
          <w:tab w:pos="2380" w:val="left"/>
        </w:tabs>
        <w:spacing w:before="0" w:after="0" w:line="299" w:lineRule="exact"/>
        <w:ind w:left="137" w:right="-73"/>
        <w:jc w:val="left"/>
        <w:rPr>
          <w:rFonts w:ascii="Arial Unicode MS" w:hAnsi="Arial Unicode MS" w:cs="Arial Unicode MS" w:eastAsia="Arial Unicode MS"/>
          <w:sz w:val="22"/>
          <w:szCs w:val="22"/>
        </w:rPr>
      </w:pPr>
      <w:r>
        <w:rPr/>
        <w:pict>
          <v:group style="position:absolute;margin-left:37.849998pt;margin-top:2.506124pt;width:525.6pt;height:43.5908pt;mso-position-horizontal-relative:page;mso-position-vertical-relative:paragraph;z-index:-445" coordorigin="757,50" coordsize="10512,872">
            <v:shape style="position:absolute;left:757;top:50;width:10512;height:872" coordorigin="757,50" coordsize="10512,872" path="m757,922l11269,922,11269,50,757,50,757,922xe" filled="t" fillcolor="#D2D2D2" stroked="f">
              <v:path arrowok="t"/>
              <v:fill/>
            </v:shape>
            <w10:wrap type="none"/>
          </v:group>
        </w:pict>
      </w:r>
      <w:r>
        <w:rPr>
          <w:rFonts w:ascii="Arial Unicode MS" w:hAnsi="Arial Unicode MS" w:cs="Arial Unicode MS" w:eastAsia="Arial Unicode MS"/>
          <w:spacing w:val="0"/>
          <w:w w:val="100"/>
          <w:sz w:val="22"/>
          <w:szCs w:val="22"/>
        </w:rPr>
        <w:t>法定数据</w:t>
        <w:tab/>
      </w:r>
      <w:r>
        <w:rPr>
          <w:rFonts w:ascii="Arial Unicode MS" w:hAnsi="Arial Unicode MS" w:cs="Arial Unicode MS" w:eastAsia="Arial Unicode MS"/>
          <w:spacing w:val="0"/>
          <w:w w:val="100"/>
          <w:sz w:val="22"/>
          <w:szCs w:val="22"/>
        </w:rPr>
        <w:t>挥发性有机化合物</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450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克/公升(原装涂料)</w:t>
      </w:r>
      <w:r>
        <w:rPr>
          <w:rFonts w:ascii="Arial Unicode MS" w:hAnsi="Arial Unicode MS" w:cs="Arial Unicode MS" w:eastAsia="Arial Unicode MS"/>
          <w:spacing w:val="-13"/>
          <w:w w:val="100"/>
          <w:sz w:val="16"/>
          <w:szCs w:val="16"/>
        </w:rPr>
        <w:t> </w:t>
      </w:r>
      <w:r>
        <w:rPr>
          <w:rFonts w:ascii="Arial Unicode MS" w:hAnsi="Arial Unicode MS" w:cs="Arial Unicode MS" w:eastAsia="Arial Unicode MS"/>
          <w:spacing w:val="0"/>
          <w:w w:val="100"/>
          <w:sz w:val="16"/>
          <w:szCs w:val="16"/>
        </w:rPr>
        <w:t>(EPA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方法</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w:t>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293</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99"/>
          <w:position w:val="0"/>
          <w:sz w:val="16"/>
          <w:szCs w:val="16"/>
        </w:rPr>
        <w:t>克/千克(原装液体油漆)。欧盟溶剂排放指导</w:t>
      </w:r>
      <w:r>
        <w:rPr>
          <w:rFonts w:ascii="Arial Unicode MS" w:hAnsi="Arial Unicode MS" w:cs="Arial Unicode MS" w:eastAsia="Arial Unicode MS"/>
          <w:spacing w:val="0"/>
          <w:w w:val="99"/>
          <w:position w:val="0"/>
          <w:sz w:val="16"/>
          <w:szCs w:val="16"/>
        </w:rPr>
        <w:t> </w:t>
      </w:r>
      <w:r>
        <w:rPr>
          <w:rFonts w:ascii="Arial Unicode MS" w:hAnsi="Arial Unicode MS" w:cs="Arial Unicode MS" w:eastAsia="Arial Unicode MS"/>
          <w:spacing w:val="0"/>
          <w:w w:val="100"/>
          <w:position w:val="0"/>
          <w:sz w:val="16"/>
          <w:szCs w:val="16"/>
        </w:rPr>
        <w:t>(委员会指导</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1999/13/EC)</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4148" w:space="669"/>
            <w:col w:w="5923"/>
          </w:cols>
        </w:sectPr>
      </w:pPr>
    </w:p>
    <w:p>
      <w:pPr>
        <w:spacing w:before="15" w:after="0" w:line="185" w:lineRule="auto"/>
        <w:ind w:left="2388" w:right="45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挥发性有机化合物值是典型值，仅提供用来作为参考。它们可能会随着诸如颜色和常规制造误差之类因素的改变</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而发生变化。</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sectPr>
      </w:pPr>
    </w:p>
    <w:p>
      <w:pPr>
        <w:tabs>
          <w:tab w:pos="2280" w:val="left"/>
        </w:tabs>
        <w:spacing w:before="37" w:after="0" w:line="240" w:lineRule="auto"/>
        <w:ind w:left="13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证书</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当作为已核准的方案的一部分使用时，该涂料具有下列证书：</w:t>
      </w:r>
    </w:p>
    <w:p>
      <w:pPr>
        <w:spacing w:before="85" w:after="0" w:line="240" w:lineRule="auto"/>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食品接触－装载谷物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(NOHA)</w:t>
      </w:r>
      <w:r>
        <w:rPr>
          <w:rFonts w:ascii="Arial Unicode MS" w:hAnsi="Arial Unicode MS" w:cs="Arial Unicode MS" w:eastAsia="Arial Unicode MS"/>
          <w:spacing w:val="0"/>
          <w:w w:val="100"/>
          <w:sz w:val="16"/>
          <w:szCs w:val="16"/>
        </w:rPr>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耐火性－符合低播焰要求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(WFR)－(IMO</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Resolution</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A653</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(16))</w:t>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耐火性－符合“海洋设备指导”的规定</w:t>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腐蚀控制</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中国船级社(CCS)</w:t>
      </w:r>
      <w:r>
        <w:rPr>
          <w:rFonts w:ascii="Arial Unicode MS" w:hAnsi="Arial Unicode MS" w:cs="Arial Unicode MS" w:eastAsia="Arial Unicode MS"/>
          <w:spacing w:val="0"/>
          <w:w w:val="100"/>
          <w:sz w:val="16"/>
          <w:szCs w:val="16"/>
        </w:rPr>
      </w:r>
    </w:p>
    <w:p>
      <w:pPr>
        <w:spacing w:before="2" w:after="0" w:line="150" w:lineRule="exact"/>
        <w:jc w:val="left"/>
        <w:rPr>
          <w:sz w:val="15"/>
          <w:szCs w:val="15"/>
        </w:rPr>
      </w:pPr>
      <w:r>
        <w:rPr>
          <w:sz w:val="15"/>
          <w:szCs w:val="15"/>
        </w:rPr>
      </w:r>
    </w:p>
    <w:p>
      <w:pPr>
        <w:spacing w:before="0" w:after="0" w:line="266" w:lineRule="exact"/>
        <w:ind w:left="2297" w:right="-20"/>
        <w:jc w:val="left"/>
        <w:rPr>
          <w:rFonts w:ascii="Arial Unicode MS" w:hAnsi="Arial Unicode MS" w:cs="Arial Unicode MS" w:eastAsia="Arial Unicode MS"/>
          <w:sz w:val="16"/>
          <w:szCs w:val="16"/>
        </w:rPr>
      </w:pPr>
      <w:r>
        <w:rPr/>
        <w:pict>
          <v:group style="position:absolute;margin-left:145.850006pt;margin-top:19.073936pt;width:409.5pt;height:.1pt;mso-position-horizontal-relative:page;mso-position-vertical-relative:paragraph;z-index:-444" coordorigin="2917,381" coordsize="8190,2">
            <v:shape style="position:absolute;left:2917;top:381;width:8190;height:2" coordorigin="2917,381" coordsize="8190,0" path="m2917,381l11107,381e" filled="f" stroked="t" strokeweight="1.5pt" strokecolor="#000000">
              <v:path arrowok="t"/>
            </v:shape>
            <w10:wrap type="none"/>
          </v:group>
        </w:pict>
      </w:r>
      <w:r>
        <w:rPr>
          <w:rFonts w:ascii="Arial Unicode MS" w:hAnsi="Arial Unicode MS" w:cs="Arial Unicode MS" w:eastAsia="Arial Unicode MS"/>
          <w:spacing w:val="0"/>
          <w:w w:val="100"/>
          <w:position w:val="-1"/>
          <w:sz w:val="16"/>
          <w:szCs w:val="16"/>
        </w:rPr>
        <w:t>有关详细情况，请向贵处的国际油漆</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(International</w:t>
      </w:r>
      <w:r>
        <w:rPr>
          <w:rFonts w:ascii="Arial Unicode MS" w:hAnsi="Arial Unicode MS" w:cs="Arial Unicode MS" w:eastAsia="Arial Unicode MS"/>
          <w:spacing w:val="-9"/>
          <w:w w:val="100"/>
          <w:position w:val="-1"/>
          <w:sz w:val="16"/>
          <w:szCs w:val="16"/>
        </w:rPr>
        <w:t> </w:t>
      </w:r>
      <w:r>
        <w:rPr>
          <w:rFonts w:ascii="Arial Unicode MS" w:hAnsi="Arial Unicode MS" w:cs="Arial Unicode MS" w:eastAsia="Arial Unicode MS"/>
          <w:spacing w:val="0"/>
          <w:w w:val="100"/>
          <w:position w:val="-1"/>
          <w:sz w:val="16"/>
          <w:szCs w:val="16"/>
        </w:rPr>
        <w:t>Paint)</w:t>
      </w:r>
      <w:r>
        <w:rPr>
          <w:rFonts w:ascii="Arial Unicode MS" w:hAnsi="Arial Unicode MS" w:cs="Arial Unicode MS" w:eastAsia="Arial Unicode MS"/>
          <w:spacing w:val="-4"/>
          <w:w w:val="100"/>
          <w:position w:val="-1"/>
          <w:sz w:val="16"/>
          <w:szCs w:val="16"/>
        </w:rPr>
        <w:t> </w:t>
      </w: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p>
      <w:pPr>
        <w:spacing w:before="0" w:after="0" w:line="190" w:lineRule="exact"/>
        <w:jc w:val="left"/>
        <w:rPr>
          <w:sz w:val="19"/>
          <w:szCs w:val="19"/>
        </w:rPr>
      </w:pPr>
      <w:r>
        <w:rPr>
          <w:sz w:val="19"/>
          <w:szCs w:val="19"/>
        </w:rPr>
      </w:r>
    </w:p>
    <w:p>
      <w:pPr>
        <w:spacing w:line="190" w:lineRule="exact" w:after="0"/>
        <w:jc w:val="left"/>
        <w:rPr>
          <w:sz w:val="19"/>
          <w:szCs w:val="19"/>
        </w:rPr>
        <w:sectPr>
          <w:headerReference w:type="default" r:id="rId7"/>
          <w:pgSz w:w="11900" w:h="16820"/>
          <w:pgMar w:header="299" w:footer="1582" w:top="1040" w:bottom="1780" w:left="620" w:right="540"/>
        </w:sectPr>
      </w:pPr>
    </w:p>
    <w:p>
      <w:pPr>
        <w:spacing w:before="0" w:after="0" w:line="284"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体系及配套性</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有关最适于待保护表面的漆系，请向贵处的国际油漆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58" w:space="877"/>
            <w:col w:w="8405"/>
          </w:cols>
        </w:sectPr>
      </w:pPr>
    </w:p>
    <w:p>
      <w:pPr>
        <w:spacing w:before="7" w:after="0" w:line="180" w:lineRule="exact"/>
        <w:jc w:val="left"/>
        <w:rPr>
          <w:sz w:val="18"/>
          <w:szCs w:val="18"/>
        </w:rPr>
      </w:pPr>
      <w:r>
        <w:rPr>
          <w:sz w:val="18"/>
          <w:szCs w:val="18"/>
        </w:rPr>
      </w:r>
    </w:p>
    <w:p>
      <w:pPr>
        <w:spacing w:line="180" w:lineRule="exact" w:after="0"/>
        <w:jc w:val="left"/>
        <w:rPr>
          <w:sz w:val="18"/>
          <w:szCs w:val="18"/>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570007pt;margin-top:-3.752676pt;width:414.0pt;height:.1pt;mso-position-horizontal-relative:page;mso-position-vertical-relative:paragraph;z-index:-443" coordorigin="2911,-75" coordsize="8280,2">
            <v:shape style="position:absolute;left:2911;top:-75;width:8280;height:2" coordorigin="2911,-75" coordsize="8280,0" path="m2911,-75l11191,-75e" filled="f" stroked="t" strokeweight="1.5pt" strokecolor="#000000">
              <v:path arrowok="t"/>
            </v:shape>
            <w10:wrap type="none"/>
          </v:group>
        </w:pict>
      </w:r>
      <w:r>
        <w:rPr>
          <w:rFonts w:ascii="Arial Unicode MS" w:hAnsi="Arial Unicode MS" w:cs="Arial Unicode MS" w:eastAsia="Arial Unicode MS"/>
          <w:spacing w:val="0"/>
          <w:w w:val="100"/>
          <w:sz w:val="22"/>
          <w:szCs w:val="22"/>
        </w:rPr>
        <w:t>表面处理</w:t>
      </w:r>
    </w:p>
    <w:p>
      <w:pPr>
        <w:spacing w:before="7" w:after="0" w:line="185" w:lineRule="auto"/>
        <w:ind w:right="3623"/>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99"/>
          <w:sz w:val="16"/>
          <w:szCs w:val="16"/>
        </w:rPr>
        <w:t>按照标准的“全球海洋规则(Worldwide</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Marine</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Specifications)”使用。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所有待涂表面应清洁、干燥且无污染物。</w:t>
      </w:r>
    </w:p>
    <w:p>
      <w:pPr>
        <w:spacing w:before="0" w:after="0" w:line="185" w:lineRule="auto"/>
        <w:ind w:right="20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采用高压淡水冲洗或一般淡水冲洗，以合适为准，并按照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溶剂清理标准除去所有油或油脂、可溶性污染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物以及其它外来物质。</w:t>
      </w:r>
    </w:p>
    <w:p>
      <w:pPr>
        <w:spacing w:before="71" w:after="0" w:line="185" w:lineRule="auto"/>
        <w:ind w:left="6" w:right="166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用作压载舱的临时底漆时。</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浸水应用：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磨光所有焊接处、锐边和凸出部分，使其光滑圆润，并在进行喷砂清理前除去所有焊接飞溅物。</w:t>
      </w:r>
    </w:p>
    <w:p>
      <w:pPr>
        <w:spacing w:before="0" w:after="0" w:line="185" w:lineRule="auto"/>
        <w:ind w:left="6" w:right="18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标准。如在喷砂和施工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之间已发生氧化，表面应再行喷砂处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理至规定的图片标准。</w:t>
      </w:r>
    </w:p>
    <w:p>
      <w:pPr>
        <w:spacing w:before="0" w:after="0" w:line="185" w:lineRule="auto"/>
        <w:ind w:left="6" w:right="262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喷砂清理过程中暴露出来的表面缺陷，应打磨、嵌填或采用合适的方法进行处理。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小区域可通过动力工具处理至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Pt3</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(JSRA</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SPSS:1984)。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用作压载舱以外其它区域的临时底漆时。</w:t>
      </w:r>
    </w:p>
    <w:p>
      <w:pPr>
        <w:spacing w:before="0" w:after="0" w:line="185" w:lineRule="auto"/>
        <w:ind w:left="6" w:right="204"/>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99"/>
          <w:sz w:val="16"/>
          <w:szCs w:val="16"/>
        </w:rPr>
        <w:t>8501-1:2007)标准。如果在喷砂和施工</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之间已发生氧化，表面应再行喷砂处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理至规定的图片标准。</w:t>
      </w:r>
    </w:p>
    <w:p>
      <w:pPr>
        <w:spacing w:before="0" w:after="0" w:line="22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喷砂清理过程中暴露出来的表面缺陷，应打磨、嵌填或采用合适的方法进行处理。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可施工在处理至国际油漆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超高压水清理标准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的表面上，对于水下船壳/水线间</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区域，闪锈应不低于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HB2L</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标准，对于水上区域，则闪锈应不低于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HB2M</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小区域可通过动力工具处理至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Pt3</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(JSRA</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SPSS:1984)。</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用作含锌底漆上的过渡涂层时。</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底漆表面应清洁、干燥且无任何污染物，破损、损坏等区域应处理至规定的标准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(例如：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99"/>
          <w:sz w:val="16"/>
          <w:szCs w:val="16"/>
        </w:rPr>
        <w:t>应在规定的复涂间隔时间内采用Intergard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269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进行复涂(请参阅相关的产品说明书)。</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99"/>
          <w:sz w:val="16"/>
          <w:szCs w:val="16"/>
        </w:rPr>
        <w:t>为避免在涂有含锌底漆的表面出现针孔，Intergard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269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应用国际牌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进行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15-25%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的稀释。</w:t>
      </w:r>
    </w:p>
    <w:p>
      <w:pPr>
        <w:spacing w:before="0" w:after="0" w:line="430" w:lineRule="atLeast"/>
        <w:ind w:left="6" w:right="2098"/>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关于液舱涂装工程，请向国际油漆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咨询应遵循的详细液舱涂装程序。</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before="61" w:after="0" w:line="185" w:lineRule="auto"/>
        <w:ind w:left="6" w:right="454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注意事项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用于北美地区的海洋环境，可采用下列表面处理标准：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SSPC-SP10</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before="0" w:after="0" w:line="185" w:lineRule="auto"/>
        <w:ind w:left="6" w:right="542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SSPC-SP6</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Pt3</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(JSRA</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SPSS:1984)</w:t>
      </w:r>
      <w:r>
        <w:rPr>
          <w:rFonts w:ascii="Arial Unicode MS" w:hAnsi="Arial Unicode MS" w:cs="Arial Unicode MS" w:eastAsia="Arial Unicode MS"/>
          <w:spacing w:val="0"/>
          <w:w w:val="100"/>
          <w:sz w:val="16"/>
          <w:szCs w:val="16"/>
        </w:rPr>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4"/>
            <w:col w:w="8448"/>
          </w:cols>
        </w:sectPr>
      </w:pPr>
    </w:p>
    <w:p>
      <w:pPr>
        <w:spacing w:before="39" w:after="0" w:line="274" w:lineRule="auto"/>
        <w:ind w:left="137" w:right="58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施工</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混合</w:t>
      </w:r>
    </w:p>
    <w:p>
      <w:pPr>
        <w:spacing w:before="0" w:after="0" w:line="180" w:lineRule="exact"/>
        <w:jc w:val="left"/>
        <w:rPr>
          <w:sz w:val="18"/>
          <w:szCs w:val="18"/>
        </w:rPr>
      </w:pPr>
      <w:r>
        <w:rPr>
          <w:sz w:val="18"/>
          <w:szCs w:val="18"/>
        </w:rPr>
      </w:r>
    </w:p>
    <w:p>
      <w:pPr>
        <w:spacing w:before="0" w:after="0" w:line="200" w:lineRule="exact"/>
        <w:jc w:val="left"/>
        <w:rPr>
          <w:sz w:val="20"/>
          <w:szCs w:val="20"/>
        </w:rPr>
      </w:pPr>
      <w:r>
        <w:rPr>
          <w:sz w:val="20"/>
          <w:szCs w:val="20"/>
        </w:rPr>
      </w:r>
    </w:p>
    <w:p>
      <w:pPr>
        <w:spacing w:before="0" w:after="0" w:line="324" w:lineRule="auto"/>
        <w:ind w:left="137" w:right="14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稀释剂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无气喷涂</w:t>
      </w:r>
    </w:p>
    <w:p>
      <w:pPr>
        <w:spacing w:before="18" w:after="0" w:line="240" w:lineRule="exact"/>
        <w:jc w:val="left"/>
        <w:rPr>
          <w:sz w:val="24"/>
          <w:szCs w:val="24"/>
        </w:rPr>
      </w:pPr>
      <w:r>
        <w:rPr>
          <w:sz w:val="24"/>
          <w:szCs w:val="24"/>
        </w:rPr>
      </w:r>
    </w:p>
    <w:p>
      <w:pPr>
        <w:spacing w:before="0" w:after="0" w:line="366" w:lineRule="exact"/>
        <w:ind w:left="137"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传统型喷涂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刷涂</w:t>
      </w:r>
    </w:p>
    <w:p>
      <w:pPr>
        <w:spacing w:before="0" w:after="0" w:line="352"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漆辊</w:t>
      </w:r>
      <w:r>
        <w:rPr>
          <w:rFonts w:ascii="Arial Unicode MS" w:hAnsi="Arial Unicode MS" w:cs="Arial Unicode MS" w:eastAsia="Arial Unicode MS"/>
          <w:spacing w:val="0"/>
          <w:w w:val="100"/>
          <w:position w:val="0"/>
          <w:sz w:val="22"/>
          <w:szCs w:val="22"/>
        </w:rPr>
      </w:r>
    </w:p>
    <w:p>
      <w:pPr>
        <w:spacing w:before="30" w:after="0" w:line="366"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清洁剂</w:t>
      </w:r>
      <w:r>
        <w:rPr>
          <w:rFonts w:ascii="Arial Unicode MS" w:hAnsi="Arial Unicode MS" w:cs="Arial Unicode MS" w:eastAsia="Arial Unicode MS"/>
          <w:spacing w:val="0"/>
          <w:w w:val="100"/>
          <w:position w:val="0"/>
          <w:sz w:val="22"/>
          <w:szCs w:val="22"/>
        </w:rPr>
      </w:r>
    </w:p>
    <w:p>
      <w:pPr>
        <w:spacing w:before="5" w:after="0" w:line="160" w:lineRule="exact"/>
        <w:jc w:val="left"/>
        <w:rPr>
          <w:sz w:val="16"/>
          <w:szCs w:val="16"/>
        </w:rPr>
      </w:pPr>
      <w:r>
        <w:rPr/>
        <w:br w:type="column"/>
      </w: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185" w:lineRule="auto"/>
        <w:ind w:left="30" w:right="266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涂料分装在两个容器中，作为一组供应。使用时应始终按供应的比例整组混合。</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(1)采用电动搅拌器搅拌基料(甲组份)。</w:t>
      </w:r>
    </w:p>
    <w:p>
      <w:pPr>
        <w:spacing w:before="0" w:after="0" w:line="224" w:lineRule="exact"/>
        <w:ind w:left="30"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混合全部固化剂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(乙组份)与基料</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(甲组份)，并采用电动搅拌器彻底搅拌。</w:t>
      </w:r>
    </w:p>
    <w:p>
      <w:pPr>
        <w:spacing w:before="1" w:after="0" w:line="150" w:lineRule="exact"/>
        <w:jc w:val="left"/>
        <w:rPr>
          <w:sz w:val="15"/>
          <w:szCs w:val="15"/>
        </w:rPr>
      </w:pPr>
      <w:r>
        <w:rPr>
          <w:sz w:val="15"/>
          <w:szCs w:val="15"/>
        </w:rPr>
      </w:r>
    </w:p>
    <w:p>
      <w:pPr>
        <w:spacing w:before="0" w:after="0" w:line="185" w:lineRule="auto"/>
        <w:ind w:left="15" w:right="224"/>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不推荐使用。仅在特殊情况下，采用国际牌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(以体积计，最高量为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5%）。稀释不要超过当地环保法规所允</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许的范围。</w:t>
      </w:r>
    </w:p>
    <w:p>
      <w:pPr>
        <w:spacing w:before="34"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推荐使用</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喷嘴尺寸</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0.38-0.53</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毫米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(15-21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thou)</w:t>
      </w:r>
      <w:r>
        <w:rPr>
          <w:rFonts w:ascii="Arial Unicode MS" w:hAnsi="Arial Unicode MS" w:cs="Arial Unicode MS" w:eastAsia="Arial Unicode MS"/>
          <w:spacing w:val="0"/>
          <w:w w:val="100"/>
          <w:sz w:val="16"/>
          <w:szCs w:val="16"/>
        </w:rPr>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喷嘴处的输出流体总压力不低于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141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千克/厘米²</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(2010磅/平方英寸)</w:t>
      </w:r>
      <w:r>
        <w:rPr>
          <w:rFonts w:ascii="Arial Unicode MS" w:hAnsi="Arial Unicode MS" w:cs="Arial Unicode MS" w:eastAsia="Arial Unicode MS"/>
          <w:spacing w:val="0"/>
          <w:w w:val="100"/>
          <w:sz w:val="16"/>
          <w:szCs w:val="16"/>
        </w:rPr>
      </w:r>
    </w:p>
    <w:p>
      <w:pPr>
        <w:spacing w:before="8" w:after="0" w:line="316" w:lineRule="auto"/>
        <w:ind w:right="333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采用合适的专用设备。可能需要进行稀释。</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刷涂施工仅建议用于小面积。可能需要多道涂层，以达到规定的膜厚。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辊涂施工仅建议用于小面积。可能需要多道涂层，以达到规定的膜厚。</w:t>
      </w:r>
    </w:p>
    <w:p>
      <w:pPr>
        <w:spacing w:before="66"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GTA822/GTA220</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8"/>
          <w:pgSz w:w="11900" w:h="16820"/>
          <w:pgMar w:header="299" w:footer="1582" w:top="1040" w:bottom="1780" w:left="620" w:right="540"/>
          <w:cols w:num="2" w:equalWidth="0">
            <w:col w:w="1238" w:space="1149"/>
            <w:col w:w="8353"/>
          </w:cols>
        </w:sectPr>
      </w:pPr>
    </w:p>
    <w:p>
      <w:pPr>
        <w:tabs>
          <w:tab w:pos="2380" w:val="left"/>
        </w:tabs>
        <w:spacing w:before="67" w:after="0" w:line="178" w:lineRule="auto"/>
        <w:ind w:left="2387" w:right="248" w:hanging="225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工作中止及清理</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不要让涂料残留在软管、喷枪或喷涂设备中。采用国际牌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GTA822/GTA220</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彻底冲洗所有设备。一组油漆一经混</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合，不应再行密封，施工中如停顿时间过长，建议重新混合各组份，再开始施工。</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所有设备在使用后应立即采用国际牌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GTA822/GTA220</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进行清洗。在一天的工作过程中定时冲洗喷涂设备是一种良</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好的工作习惯。清洗次数取决于喷涂数量、温度、相对湿度和使用时间(包括耽搁的时间)。不要超过涂料的混合后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施工时间。</w:t>
      </w:r>
    </w:p>
    <w:p>
      <w:pPr>
        <w:spacing w:before="0" w:after="0" w:line="214" w:lineRule="exact"/>
        <w:ind w:left="238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所有剩余涂料和空容器应按照当地适宜的规章/法律进行处置。</w:t>
      </w:r>
      <w:r>
        <w:rPr>
          <w:rFonts w:ascii="Arial Unicode MS" w:hAnsi="Arial Unicode MS" w:cs="Arial Unicode MS" w:eastAsia="Arial Unicode MS"/>
          <w:spacing w:val="0"/>
          <w:w w:val="100"/>
          <w:position w:val="0"/>
          <w:sz w:val="16"/>
          <w:szCs w:val="16"/>
        </w:rPr>
      </w:r>
    </w:p>
    <w:p>
      <w:pPr>
        <w:spacing w:before="8" w:after="0" w:line="240" w:lineRule="exact"/>
        <w:jc w:val="left"/>
        <w:rPr>
          <w:sz w:val="24"/>
          <w:szCs w:val="24"/>
        </w:rPr>
      </w:pPr>
      <w:r>
        <w:rPr>
          <w:sz w:val="24"/>
          <w:szCs w:val="24"/>
        </w:rPr>
      </w:r>
    </w:p>
    <w:p>
      <w:pPr>
        <w:tabs>
          <w:tab w:pos="2360" w:val="left"/>
        </w:tabs>
        <w:spacing w:before="8" w:after="0" w:line="158" w:lineRule="auto"/>
        <w:ind w:left="2372" w:right="306" w:hanging="2235"/>
        <w:jc w:val="left"/>
        <w:rPr>
          <w:rFonts w:ascii="Arial Unicode MS" w:hAnsi="Arial Unicode MS" w:cs="Arial Unicode MS" w:eastAsia="Arial Unicode MS"/>
          <w:sz w:val="16"/>
          <w:szCs w:val="16"/>
        </w:rPr>
      </w:pPr>
      <w:r>
        <w:rPr/>
        <w:pict>
          <v:group style="position:absolute;margin-left:149.600006pt;margin-top:27.472483pt;width:405.75pt;height:.1pt;mso-position-horizontal-relative:page;mso-position-vertical-relative:paragraph;z-index:-442" coordorigin="2992,549" coordsize="8115,2">
            <v:shape style="position:absolute;left:2992;top:549;width:8115;height:2" coordorigin="2992,549" coordsize="8115,0" path="m2992,549l11107,549e" filled="f" stroked="t" strokeweight="1.5pt" strokecolor="#000000">
              <v:path arrowok="t"/>
            </v:shape>
            <w10:wrap type="none"/>
          </v:group>
        </w:pict>
      </w:r>
      <w:r>
        <w:rPr>
          <w:rFonts w:ascii="Arial Unicode MS" w:hAnsi="Arial Unicode MS" w:cs="Arial Unicode MS" w:eastAsia="Arial Unicode MS"/>
          <w:spacing w:val="0"/>
          <w:w w:val="100"/>
          <w:position w:val="-4"/>
          <w:sz w:val="22"/>
          <w:szCs w:val="22"/>
        </w:rPr>
        <w:t>焊接</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如果在涂有该产品的金属上进行焊接或火焰切割，会散发灰尘和烟雾，需使用合适的个人防护设备及局部通风排气</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设施。在北美，按照</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ANSI/ASC</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Z49.1</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“焊接和切割中的安全事项”中的指示进行操作。</w:t>
      </w:r>
    </w:p>
    <w:p>
      <w:pPr>
        <w:spacing w:before="4" w:after="0" w:line="190" w:lineRule="exact"/>
        <w:jc w:val="left"/>
        <w:rPr>
          <w:sz w:val="19"/>
          <w:szCs w:val="19"/>
        </w:rPr>
      </w:pPr>
      <w:r>
        <w:rPr>
          <w:sz w:val="19"/>
          <w:szCs w:val="19"/>
        </w:rPr>
      </w:r>
    </w:p>
    <w:p>
      <w:pPr>
        <w:tabs>
          <w:tab w:pos="2240" w:val="left"/>
        </w:tabs>
        <w:spacing w:before="0" w:after="0" w:line="297" w:lineRule="exact"/>
        <w:ind w:left="100" w:right="872"/>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安全</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所有与该产品的施工和使用有关的工作，均应按照国家关于健康、安全和环境保护方面的标准和规定进行。</w:t>
      </w:r>
      <w:r>
        <w:rPr>
          <w:rFonts w:ascii="Arial Unicode MS" w:hAnsi="Arial Unicode MS" w:cs="Arial Unicode MS" w:eastAsia="Arial Unicode MS"/>
          <w:spacing w:val="0"/>
          <w:w w:val="100"/>
          <w:position w:val="0"/>
          <w:sz w:val="16"/>
          <w:szCs w:val="16"/>
        </w:rPr>
      </w:r>
    </w:p>
    <w:p>
      <w:pPr>
        <w:spacing w:before="8" w:after="0" w:line="130" w:lineRule="exact"/>
        <w:jc w:val="left"/>
        <w:rPr>
          <w:sz w:val="13"/>
          <w:szCs w:val="13"/>
        </w:rPr>
      </w:pPr>
      <w:r>
        <w:rPr>
          <w:sz w:val="13"/>
          <w:szCs w:val="13"/>
        </w:rPr>
      </w:r>
    </w:p>
    <w:p>
      <w:pPr>
        <w:spacing w:before="0" w:after="0" w:line="185" w:lineRule="auto"/>
        <w:ind w:left="2291" w:right="38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使用该产品前，应获取、参阅并遵循该产品“材料安全说明书”有关健康和安全方面的信息规定。参阅并遵守“材料安</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全说明书”和包装容器标牌上的所有预防措施。如果您未完全了解这些告诫和规定，或者不能严格遵守，请勿使用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该产品。在该产品的施工和干燥过程中，必须采用合适的通风和防范措施，将溶剂蒸汽浓度控制在安全限定值以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内，以防止发生中毒或缺氧的危险。采取保护措施，避免皮肤和眼睛与该产品接触(例如：手套、护目镜、面罩、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隔离霜等)。具体安全措施应视施工方法和工作环境而定。</w:t>
      </w:r>
    </w:p>
    <w:p>
      <w:pPr>
        <w:spacing w:before="0" w:after="0" w:line="22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紧急联系电话：</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美国/加拿大</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医疗咨询电话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1-800-854-6813</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欧洲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联系电话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4696111。医院及医生诊视电话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6359191</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R.O.W.</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与地区办事处联系</w:t>
      </w:r>
    </w:p>
    <w:p>
      <w:pPr>
        <w:spacing w:line="21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9" w:after="0" w:line="120" w:lineRule="exact"/>
        <w:jc w:val="left"/>
        <w:rPr>
          <w:sz w:val="12"/>
          <w:szCs w:val="12"/>
        </w:rPr>
      </w:pPr>
      <w:r>
        <w:rPr>
          <w:sz w:val="12"/>
          <w:szCs w:val="12"/>
        </w:rPr>
      </w:r>
    </w:p>
    <w:p>
      <w:pPr>
        <w:tabs>
          <w:tab w:pos="2280" w:val="left"/>
        </w:tabs>
        <w:spacing w:before="0" w:after="0" w:line="158" w:lineRule="auto"/>
        <w:ind w:left="2297" w:right="103" w:hanging="216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限制</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该产品在</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5°C</w:t>
      </w:r>
      <w:r>
        <w:rPr>
          <w:rFonts w:ascii="Arial Unicode MS" w:hAnsi="Arial Unicode MS" w:cs="Arial Unicode MS" w:eastAsia="Arial Unicode MS"/>
          <w:spacing w:val="-3"/>
          <w:w w:val="100"/>
          <w:position w:val="0"/>
          <w:sz w:val="16"/>
          <w:szCs w:val="16"/>
        </w:rPr>
        <w:t> </w:t>
      </w:r>
      <w:r>
        <w:rPr>
          <w:rFonts w:ascii="Arial Unicode MS" w:hAnsi="Arial Unicode MS" w:cs="Arial Unicode MS" w:eastAsia="Arial Unicode MS"/>
          <w:spacing w:val="0"/>
          <w:w w:val="100"/>
          <w:position w:val="0"/>
          <w:sz w:val="16"/>
          <w:szCs w:val="16"/>
        </w:rPr>
        <w:t>以下不会充分固化。为达到最佳性能，固化温度应高于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10°C。钢材的材龄和处理方法对油漆消耗量有显</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著影响。</w:t>
      </w:r>
    </w:p>
    <w:p>
      <w:pPr>
        <w:spacing w:before="5" w:after="0" w:line="185" w:lineRule="auto"/>
        <w:ind w:left="2297" w:right="22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复涂数据仅作指导之用，应视当地的气候和环境条件而定。有关特殊建议，请向贵处的国际油漆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代表咨询。</w:t>
      </w:r>
    </w:p>
    <w:p>
      <w:pPr>
        <w:spacing w:before="0" w:after="0" w:line="185" w:lineRule="auto"/>
        <w:ind w:left="2297" w:right="22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在好天气下施工。待涂表面的温度必须至少高于露点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3°C。除非另有特殊指令，为达到最佳施工性能，在混合和施工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前，将涂料温度提升到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21-27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°C之间。未混合的涂料（在盖紧的容器中）应按该产品说明书“贮存”一节中规定的方式</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进行保护性贮存。此处提及的技术和施工数据之目的，是为制定一个涂料施工程序的总则。测试性能结果来自于受控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的实验室环境，国际油漆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(InternationalPaint)</w:t>
      </w:r>
      <w:r>
        <w:rPr>
          <w:rFonts w:ascii="Arial Unicode MS" w:hAnsi="Arial Unicode MS" w:cs="Arial Unicode MS" w:eastAsia="Arial Unicode MS"/>
          <w:spacing w:val="-14"/>
          <w:w w:val="100"/>
          <w:sz w:val="16"/>
          <w:szCs w:val="16"/>
        </w:rPr>
        <w:t> </w:t>
      </w:r>
      <w:r>
        <w:rPr>
          <w:rFonts w:ascii="Arial Unicode MS" w:hAnsi="Arial Unicode MS" w:cs="Arial Unicode MS" w:eastAsia="Arial Unicode MS"/>
          <w:spacing w:val="0"/>
          <w:w w:val="100"/>
          <w:sz w:val="16"/>
          <w:szCs w:val="16"/>
        </w:rPr>
        <w:t>并不声称所公布的测试结果，或任何其它测试，精确代表所有现场环境</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中所得到的结果。由于施工应用,</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环境和设计参数变化很大，所以在进行涂料选择、性能证实或使用时应十分小心谨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慎。</w:t>
      </w:r>
    </w:p>
    <w:p>
      <w:pPr>
        <w:spacing w:before="0" w:after="0" w:line="185" w:lineRule="auto"/>
        <w:ind w:left="2297" w:right="158"/>
        <w:jc w:val="left"/>
        <w:rPr>
          <w:rFonts w:ascii="Arial Unicode MS" w:hAnsi="Arial Unicode MS" w:cs="Arial Unicode MS" w:eastAsia="Arial Unicode MS"/>
          <w:sz w:val="16"/>
          <w:szCs w:val="16"/>
        </w:rPr>
      </w:pPr>
      <w:r>
        <w:rPr/>
        <w:pict>
          <v:group style="position:absolute;margin-left:145.850006pt;margin-top:27.133881pt;width:417.6pt;height:.1pt;mso-position-horizontal-relative:page;mso-position-vertical-relative:paragraph;z-index:-441" coordorigin="2917,543" coordsize="8352,2">
            <v:shape style="position:absolute;left:2917;top:543;width:8352;height:2" coordorigin="2917,543" coordsize="8352,0" path="m2917,543l11269,543e" filled="f" stroked="t" strokeweight="1.5pt" strokecolor="#000000">
              <v:path arrowok="t"/>
            </v:shape>
            <w10:wrap type="none"/>
          </v:group>
        </w:pict>
      </w:r>
      <w:r>
        <w:rPr>
          <w:rFonts w:ascii="Arial Unicode MS" w:hAnsi="Arial Unicode MS" w:cs="Arial Unicode MS" w:eastAsia="Arial Unicode MS"/>
          <w:spacing w:val="0"/>
          <w:w w:val="100"/>
          <w:sz w:val="16"/>
          <w:szCs w:val="16"/>
        </w:rPr>
        <w:t>在“复涂数据”一节中,</w:t>
      </w:r>
      <w:r>
        <w:rPr>
          <w:rFonts w:ascii="Arial Unicode MS" w:hAnsi="Arial Unicode MS" w:cs="Arial Unicode MS" w:eastAsia="Arial Unicode MS"/>
          <w:spacing w:val="-14"/>
          <w:w w:val="100"/>
          <w:sz w:val="16"/>
          <w:szCs w:val="16"/>
        </w:rPr>
        <w:t> </w:t>
      </w:r>
      <w:r>
        <w:rPr>
          <w:rFonts w:ascii="Arial Unicode MS" w:hAnsi="Arial Unicode MS" w:cs="Arial Unicode MS" w:eastAsia="Arial Unicode MS"/>
          <w:spacing w:val="0"/>
          <w:w w:val="100"/>
          <w:sz w:val="16"/>
          <w:szCs w:val="16"/>
        </w:rPr>
        <w:t>不限</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1"/>
          <w:w w:val="100"/>
          <w:sz w:val="16"/>
          <w:szCs w:val="16"/>
        </w:rPr>
        <w:t> </w:t>
      </w:r>
      <w:r>
        <w:rPr>
          <w:rFonts w:ascii="Arial Unicode MS" w:hAnsi="Arial Unicode MS" w:cs="Arial Unicode MS" w:eastAsia="Arial Unicode MS"/>
          <w:spacing w:val="0"/>
          <w:w w:val="100"/>
          <w:sz w:val="16"/>
          <w:szCs w:val="16"/>
        </w:rPr>
        <w:t>'ext'。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请参阅我们的网址中提供的“船舶涂装指导</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定义和缩写”（Marine</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Painting</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Guide</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Definitions</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and</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Abbreviations）。</w:t>
      </w:r>
      <w:r>
        <w:rPr>
          <w:rFonts w:ascii="Arial Unicode MS" w:hAnsi="Arial Unicode MS" w:cs="Arial Unicode MS" w:eastAsia="Arial Unicode MS"/>
          <w:spacing w:val="0"/>
          <w:w w:val="100"/>
          <w:sz w:val="16"/>
          <w:szCs w:val="16"/>
        </w:rPr>
      </w:r>
    </w:p>
    <w:p>
      <w:pPr>
        <w:spacing w:before="3" w:after="0" w:line="280" w:lineRule="exact"/>
        <w:jc w:val="left"/>
        <w:rPr>
          <w:sz w:val="28"/>
          <w:szCs w:val="28"/>
        </w:rPr>
      </w:pPr>
      <w:r>
        <w:rPr>
          <w:sz w:val="28"/>
          <w:szCs w:val="28"/>
        </w:rPr>
      </w:r>
    </w:p>
    <w:p>
      <w:pPr>
        <w:spacing w:before="0" w:after="0" w:line="280" w:lineRule="exact"/>
        <w:ind w:left="137" w:right="-20"/>
        <w:jc w:val="left"/>
        <w:rPr>
          <w:rFonts w:ascii="Arial Unicode MS" w:hAnsi="Arial Unicode MS" w:cs="Arial Unicode MS" w:eastAsia="Arial Unicode MS"/>
          <w:sz w:val="22"/>
          <w:szCs w:val="22"/>
        </w:rPr>
      </w:pPr>
      <w:r>
        <w:rPr/>
        <w:pict>
          <v:group style="position:absolute;margin-left:37.849998pt;margin-top:2.315146pt;width:522.75pt;height:64.1258pt;mso-position-horizontal-relative:page;mso-position-vertical-relative:paragraph;z-index:-440" coordorigin="757,46" coordsize="10455,1283">
            <v:shape style="position:absolute;left:757;top:46;width:10455;height:1283" coordorigin="757,46" coordsize="10455,1283" path="m757,1329l11212,1329,11212,46,757,46,757,1329xe" filled="t" fillcolor="#D2D2D2" stroked="f">
              <v:path arrowok="t"/>
              <v:fill/>
            </v:shape>
            <w10:wrap type="none"/>
          </v:group>
        </w:pict>
      </w:r>
      <w:r>
        <w:rPr/>
        <w:pict>
          <v:shape style="position:absolute;margin-left:166.5pt;margin-top:2.315146pt;width:394.1pt;height:47.175816pt;mso-position-horizontal-relative:page;mso-position-vertical-relative:paragraph;z-index:-436" type="#_x0000_t202" filled="f" stroked="f">
            <v:textbox inset="0,0,0,0">
              <w:txbxContent>
                <w:tbl>
                  <w:tblPr>
                    <w:tblW w:w="0" w:type="auto"/>
                    <w:jc w:val="left"/>
                    <w:tblLayout w:type="fixed"/>
                    <w:tblCellMar>
                      <w:top w:w="0" w:type="dxa"/>
                      <w:left w:w="0" w:type="dxa"/>
                      <w:bottom w:w="0" w:type="dxa"/>
                      <w:right w:w="0" w:type="dxa"/>
                    </w:tblCellMar>
                    <w:tblLook w:val="01E0"/>
                  </w:tblPr>
                  <w:tblGrid/>
                  <w:tr>
                    <w:trPr>
                      <w:trHeight w:val="169"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包装规格</w:t>
                        </w:r>
                        <w:r>
                          <w:rPr>
                            <w:rFonts w:ascii="Arial Unicode MS" w:hAnsi="Arial Unicode MS" w:cs="Arial Unicode MS" w:eastAsia="Arial Unicode MS"/>
                            <w:spacing w:val="0"/>
                            <w:w w:val="100"/>
                            <w:position w:val="0"/>
                            <w:sz w:val="14"/>
                            <w:szCs w:val="14"/>
                          </w:rPr>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73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甲组份</w:t>
                        </w:r>
                        <w:r>
                          <w:rPr>
                            <w:rFonts w:ascii="Arial Unicode MS" w:hAnsi="Arial Unicode MS" w:cs="Arial Unicode MS" w:eastAsia="Arial Unicode MS"/>
                            <w:spacing w:val="0"/>
                            <w:w w:val="100"/>
                            <w:position w:val="0"/>
                            <w:sz w:val="14"/>
                            <w:szCs w:val="14"/>
                          </w:rPr>
                        </w:r>
                      </w:p>
                    </w:tc>
                    <w:tc>
                      <w:tcPr>
                        <w:tcW w:w="898" w:type="dxa"/>
                        <w:tcBorders>
                          <w:top w:val="nil" w:sz="6" w:space="0" w:color="auto"/>
                          <w:left w:val="nil" w:sz="6" w:space="0" w:color="auto"/>
                          <w:bottom w:val="nil" w:sz="6" w:space="0" w:color="auto"/>
                          <w:right w:val="nil" w:sz="6" w:space="0" w:color="auto"/>
                        </w:tcBorders>
                        <w:shd w:val="clear" w:color="auto" w:fill="D2D2D2"/>
                      </w:tcPr>
                      <w:p>
                        <w:pP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66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乙组份</w:t>
                        </w:r>
                        <w:r>
                          <w:rPr>
                            <w:rFonts w:ascii="Arial Unicode MS" w:hAnsi="Arial Unicode MS" w:cs="Arial Unicode MS" w:eastAsia="Arial Unicode MS"/>
                            <w:spacing w:val="0"/>
                            <w:w w:val="100"/>
                            <w:position w:val="0"/>
                            <w:sz w:val="14"/>
                            <w:szCs w:val="14"/>
                          </w:rPr>
                        </w:r>
                      </w:p>
                    </w:tc>
                    <w:tc>
                      <w:tcPr>
                        <w:tcW w:w="3700" w:type="dxa"/>
                        <w:tcBorders>
                          <w:top w:val="nil" w:sz="6" w:space="0" w:color="auto"/>
                          <w:left w:val="nil" w:sz="6" w:space="0" w:color="auto"/>
                          <w:bottom w:val="nil" w:sz="6" w:space="0" w:color="auto"/>
                          <w:right w:val="nil" w:sz="6" w:space="0" w:color="auto"/>
                        </w:tcBorders>
                        <w:shd w:val="clear" w:color="auto" w:fill="D2D2D2"/>
                      </w:tcPr>
                      <w:p>
                        <w:pPr/>
                      </w:p>
                    </w:tc>
                  </w:tr>
                  <w:tr>
                    <w:trPr>
                      <w:trHeight w:val="225" w:hRule="exact"/>
                    </w:trPr>
                    <w:tc>
                      <w:tcPr>
                        <w:tcW w:w="959" w:type="dxa"/>
                        <w:tcBorders>
                          <w:top w:val="nil" w:sz="6" w:space="0" w:color="auto"/>
                          <w:left w:val="nil" w:sz="6" w:space="0" w:color="auto"/>
                          <w:bottom w:val="nil" w:sz="6" w:space="0" w:color="auto"/>
                          <w:right w:val="nil" w:sz="6" w:space="0" w:color="auto"/>
                        </w:tcBorders>
                        <w:shd w:val="clear" w:color="auto" w:fill="D2D2D2"/>
                      </w:tcPr>
                      <w:p>
                        <w:pP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406" w:right="42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359" w:right="41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r>
                  <w:tr>
                    <w:trPr>
                      <w:trHeight w:val="550"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4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8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16</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6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2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1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5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r>
                </w:tbl>
                <w:p>
                  <w:pPr>
                    <w:spacing w:before="0" w:after="0" w:line="240" w:lineRule="auto"/>
                    <w:jc w:val="left"/>
                  </w:pPr>
                </w:p>
              </w:txbxContent>
            </v:textbox>
            <w10:wrap type="none"/>
          </v:shape>
        </w:pict>
      </w:r>
      <w:r>
        <w:rPr>
          <w:rFonts w:ascii="Arial Unicode MS" w:hAnsi="Arial Unicode MS" w:cs="Arial Unicode MS" w:eastAsia="Arial Unicode MS"/>
          <w:spacing w:val="0"/>
          <w:w w:val="100"/>
          <w:position w:val="0"/>
          <w:sz w:val="22"/>
          <w:szCs w:val="22"/>
        </w:rPr>
        <w:t>包装规格</w:t>
      </w:r>
      <w:r>
        <w:rPr>
          <w:rFonts w:ascii="Arial Unicode MS" w:hAnsi="Arial Unicode MS" w:cs="Arial Unicode MS" w:eastAsia="Arial Unicode MS"/>
          <w:spacing w:val="0"/>
          <w:w w:val="100"/>
          <w:position w:val="0"/>
          <w:sz w:val="22"/>
          <w:szCs w:val="22"/>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10" w:after="0" w:line="200" w:lineRule="exact"/>
        <w:jc w:val="left"/>
        <w:rPr>
          <w:sz w:val="20"/>
          <w:szCs w:val="20"/>
        </w:rPr>
      </w:pPr>
      <w:r>
        <w:rPr>
          <w:sz w:val="20"/>
          <w:szCs w:val="20"/>
        </w:rPr>
      </w:r>
    </w:p>
    <w:p>
      <w:pPr>
        <w:spacing w:before="0" w:after="0" w:line="210" w:lineRule="exact"/>
        <w:ind w:left="22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有关其它包装尺寸，请向国际油漆</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(International</w:t>
      </w:r>
      <w:r>
        <w:rPr>
          <w:rFonts w:ascii="Arial Unicode MS" w:hAnsi="Arial Unicode MS" w:cs="Arial Unicode MS" w:eastAsia="Arial Unicode MS"/>
          <w:spacing w:val="-8"/>
          <w:w w:val="100"/>
          <w:sz w:val="14"/>
          <w:szCs w:val="14"/>
        </w:rPr>
        <w:t> </w:t>
      </w:r>
      <w:r>
        <w:rPr>
          <w:rFonts w:ascii="Arial Unicode MS" w:hAnsi="Arial Unicode MS" w:cs="Arial Unicode MS" w:eastAsia="Arial Unicode MS"/>
          <w:spacing w:val="0"/>
          <w:w w:val="100"/>
          <w:sz w:val="14"/>
          <w:szCs w:val="14"/>
        </w:rPr>
        <w:t>Paint)</w:t>
      </w:r>
      <w:r>
        <w:rPr>
          <w:rFonts w:ascii="Arial Unicode MS" w:hAnsi="Arial Unicode MS" w:cs="Arial Unicode MS" w:eastAsia="Arial Unicode MS"/>
          <w:spacing w:val="-4"/>
          <w:w w:val="100"/>
          <w:sz w:val="14"/>
          <w:szCs w:val="14"/>
        </w:rPr>
        <w:t> </w:t>
      </w:r>
      <w:r>
        <w:rPr>
          <w:rFonts w:ascii="Arial Unicode MS" w:hAnsi="Arial Unicode MS" w:cs="Arial Unicode MS" w:eastAsia="Arial Unicode MS"/>
          <w:spacing w:val="0"/>
          <w:w w:val="100"/>
          <w:sz w:val="14"/>
          <w:szCs w:val="14"/>
        </w:rPr>
        <w:t>咨询。</w:t>
      </w:r>
    </w:p>
    <w:p>
      <w:pPr>
        <w:tabs>
          <w:tab w:pos="2740" w:val="left"/>
          <w:tab w:pos="4540" w:val="left"/>
        </w:tabs>
        <w:spacing w:before="8" w:after="0" w:line="240" w:lineRule="auto"/>
        <w:ind w:left="137" w:right="-20"/>
        <w:jc w:val="left"/>
        <w:rPr>
          <w:rFonts w:ascii="Arial Unicode MS" w:hAnsi="Arial Unicode MS" w:cs="Arial Unicode MS" w:eastAsia="Arial Unicode MS"/>
          <w:sz w:val="14"/>
          <w:szCs w:val="14"/>
        </w:rPr>
      </w:pPr>
      <w:r>
        <w:rPr/>
        <w:pict>
          <v:group style="position:absolute;margin-left:37.849998pt;margin-top:6.959191pt;width:522.75pt;height:40.8819pt;mso-position-horizontal-relative:page;mso-position-vertical-relative:paragraph;z-index:-439" coordorigin="757,139" coordsize="10455,818">
            <v:shape style="position:absolute;left:757;top:139;width:10455;height:818" coordorigin="757,139" coordsize="10455,818" path="m757,957l11212,957,11212,139,757,139,757,957xe" filled="t" fillcolor="#D2D2D2" stroked="f">
              <v:path arrowok="t"/>
              <v:fill/>
            </v:shape>
            <w10:wrap type="none"/>
          </v:group>
        </w:pict>
      </w:r>
      <w:r>
        <w:rPr>
          <w:rFonts w:ascii="Arial Unicode MS" w:hAnsi="Arial Unicode MS" w:cs="Arial Unicode MS" w:eastAsia="Arial Unicode MS"/>
          <w:spacing w:val="0"/>
          <w:w w:val="100"/>
          <w:position w:val="-6"/>
          <w:sz w:val="22"/>
          <w:szCs w:val="22"/>
        </w:rPr>
        <w:t>单位装运重量</w:t>
        <w:tab/>
      </w:r>
      <w:r>
        <w:rPr>
          <w:rFonts w:ascii="Arial Unicode MS" w:hAnsi="Arial Unicode MS" w:cs="Arial Unicode MS" w:eastAsia="Arial Unicode MS"/>
          <w:spacing w:val="0"/>
          <w:w w:val="100"/>
          <w:position w:val="-6"/>
          <w:sz w:val="22"/>
          <w:szCs w:val="22"/>
        </w:rPr>
      </w:r>
      <w:r>
        <w:rPr>
          <w:rFonts w:ascii="Arial Unicode MS" w:hAnsi="Arial Unicode MS" w:cs="Arial Unicode MS" w:eastAsia="Arial Unicode MS"/>
          <w:spacing w:val="0"/>
          <w:w w:val="100"/>
          <w:position w:val="0"/>
          <w:sz w:val="14"/>
          <w:szCs w:val="14"/>
        </w:rPr>
        <w:t>包装规格</w:t>
        <w:tab/>
      </w:r>
      <w:r>
        <w:rPr>
          <w:rFonts w:ascii="Arial Unicode MS" w:hAnsi="Arial Unicode MS" w:cs="Arial Unicode MS" w:eastAsia="Arial Unicode MS"/>
          <w:spacing w:val="0"/>
          <w:w w:val="100"/>
          <w:position w:val="0"/>
          <w:sz w:val="14"/>
          <w:szCs w:val="14"/>
        </w:rPr>
        <w:t>包装重量</w:t>
      </w:r>
    </w:p>
    <w:p>
      <w:pPr>
        <w:tabs>
          <w:tab w:pos="4520" w:val="left"/>
        </w:tabs>
        <w:spacing w:before="0" w:after="0" w:line="178"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tab/>
      </w:r>
      <w:r>
        <w:rPr>
          <w:rFonts w:ascii="Arial Unicode MS" w:hAnsi="Arial Unicode MS" w:cs="Arial Unicode MS" w:eastAsia="Arial Unicode MS"/>
          <w:spacing w:val="0"/>
          <w:w w:val="100"/>
          <w:sz w:val="14"/>
          <w:szCs w:val="14"/>
        </w:rPr>
        <w:t>32.9</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千克</w:t>
      </w:r>
    </w:p>
    <w:p>
      <w:pPr>
        <w:tabs>
          <w:tab w:pos="4600" w:val="left"/>
        </w:tabs>
        <w:spacing w:before="2" w:after="0" w:line="233" w:lineRule="exact"/>
        <w:ind w:left="275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5</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美加仑</w:t>
        <w:tab/>
      </w:r>
      <w:r>
        <w:rPr>
          <w:rFonts w:ascii="Arial Unicode MS" w:hAnsi="Arial Unicode MS" w:cs="Arial Unicode MS" w:eastAsia="Arial Unicode MS"/>
          <w:spacing w:val="0"/>
          <w:w w:val="100"/>
          <w:position w:val="-1"/>
          <w:sz w:val="14"/>
          <w:szCs w:val="14"/>
        </w:rPr>
        <w:t>68.4</w:t>
      </w:r>
      <w:r>
        <w:rPr>
          <w:rFonts w:ascii="Arial Unicode MS" w:hAnsi="Arial Unicode MS" w:cs="Arial Unicode MS" w:eastAsia="Arial Unicode MS"/>
          <w:spacing w:val="-3"/>
          <w:w w:val="100"/>
          <w:position w:val="-1"/>
          <w:sz w:val="14"/>
          <w:szCs w:val="14"/>
        </w:rPr>
        <w:t> </w:t>
      </w:r>
      <w:r>
        <w:rPr>
          <w:rFonts w:ascii="Arial Unicode MS" w:hAnsi="Arial Unicode MS" w:cs="Arial Unicode MS" w:eastAsia="Arial Unicode MS"/>
          <w:spacing w:val="0"/>
          <w:w w:val="100"/>
          <w:position w:val="-1"/>
          <w:sz w:val="14"/>
          <w:szCs w:val="14"/>
        </w:rPr>
        <w:t>磅</w:t>
      </w:r>
      <w:r>
        <w:rPr>
          <w:rFonts w:ascii="Arial Unicode MS" w:hAnsi="Arial Unicode MS" w:cs="Arial Unicode MS" w:eastAsia="Arial Unicode MS"/>
          <w:spacing w:val="0"/>
          <w:w w:val="100"/>
          <w:position w:val="0"/>
          <w:sz w:val="14"/>
          <w:szCs w:val="14"/>
        </w:rPr>
      </w:r>
    </w:p>
    <w:p>
      <w:pPr>
        <w:spacing w:before="14" w:after="0" w:line="200" w:lineRule="exact"/>
        <w:jc w:val="left"/>
        <w:rPr>
          <w:sz w:val="20"/>
          <w:szCs w:val="20"/>
        </w:rPr>
      </w:pPr>
      <w:r>
        <w:rPr>
          <w:sz w:val="20"/>
          <w:szCs w:val="20"/>
        </w:rPr>
      </w:r>
    </w:p>
    <w:p>
      <w:pPr>
        <w:tabs>
          <w:tab w:pos="2320" w:val="left"/>
          <w:tab w:pos="3820" w:val="left"/>
        </w:tabs>
        <w:spacing w:before="0" w:after="0" w:line="284" w:lineRule="exact"/>
        <w:ind w:left="137" w:right="-20"/>
        <w:jc w:val="left"/>
        <w:rPr>
          <w:rFonts w:ascii="Arial Unicode MS" w:hAnsi="Arial Unicode MS" w:cs="Arial Unicode MS" w:eastAsia="Arial Unicode MS"/>
          <w:sz w:val="16"/>
          <w:szCs w:val="16"/>
        </w:rPr>
      </w:pPr>
      <w:r>
        <w:rPr/>
        <w:pict>
          <v:group style="position:absolute;margin-left:37.349998pt;margin-top:2.002024pt;width:524.5pt;height:20.9882pt;mso-position-horizontal-relative:page;mso-position-vertical-relative:paragraph;z-index:-438" coordorigin="747,40" coordsize="10490,420">
            <v:group style="position:absolute;left:757;top:50;width:10470;height:400" coordorigin="757,50" coordsize="10470,400">
              <v:shape style="position:absolute;left:757;top:50;width:10470;height:400" coordorigin="757,50" coordsize="10470,400" path="m757,450l11227,450,11227,50,757,50,757,450xe" filled="t" fillcolor="#D2D2D2" stroked="f">
                <v:path arrowok="t"/>
                <v:fill/>
              </v:shape>
            </v:group>
            <v:group style="position:absolute;left:2917;top:435;width:8280;height:2" coordorigin="2917,435" coordsize="8280,2">
              <v:shape style="position:absolute;left:2917;top:435;width:8280;height:2" coordorigin="2917,435" coordsize="8280,0" path="m2917,435l11197,435e" filled="f" stroked="t" strokeweight="1.5pt" strokecolor="#000000">
                <v:path arrowok="t"/>
              </v:shape>
            </v:group>
            <w10:wrap type="none"/>
          </v:group>
        </w:pict>
      </w:r>
      <w:r>
        <w:rPr>
          <w:rFonts w:ascii="Arial Unicode MS" w:hAnsi="Arial Unicode MS" w:cs="Arial Unicode MS" w:eastAsia="Arial Unicode MS"/>
          <w:spacing w:val="0"/>
          <w:w w:val="100"/>
          <w:position w:val="0"/>
          <w:sz w:val="22"/>
          <w:szCs w:val="22"/>
        </w:rPr>
        <w:t>贮存</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保存期限</w:t>
        <w:tab/>
      </w:r>
      <w:r>
        <w:rPr>
          <w:rFonts w:ascii="Arial Unicode MS" w:hAnsi="Arial Unicode MS" w:cs="Arial Unicode MS" w:eastAsia="Arial Unicode MS"/>
          <w:spacing w:val="0"/>
          <w:w w:val="100"/>
          <w:position w:val="4"/>
          <w:sz w:val="16"/>
          <w:szCs w:val="16"/>
        </w:rPr>
        <w:t>在</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时，最短为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12</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个月。此后需复查。贮存于干燥遮蔽之处，远离热源及火种。</w:t>
      </w:r>
      <w:r>
        <w:rPr>
          <w:rFonts w:ascii="Arial Unicode MS" w:hAnsi="Arial Unicode MS" w:cs="Arial Unicode MS" w:eastAsia="Arial Unicode MS"/>
          <w:spacing w:val="0"/>
          <w:w w:val="100"/>
          <w:position w:val="0"/>
          <w:sz w:val="16"/>
          <w:szCs w:val="16"/>
        </w:rPr>
      </w:r>
    </w:p>
    <w:p>
      <w:pPr>
        <w:spacing w:before="3" w:after="0" w:line="140" w:lineRule="exact"/>
        <w:jc w:val="left"/>
        <w:rPr>
          <w:sz w:val="14"/>
          <w:szCs w:val="14"/>
        </w:rPr>
      </w:pPr>
      <w:r>
        <w:rPr>
          <w:sz w:val="14"/>
          <w:szCs w:val="14"/>
        </w:rPr>
      </w:r>
    </w:p>
    <w:p>
      <w:pPr>
        <w:spacing w:before="0" w:after="0" w:line="200" w:lineRule="exact"/>
        <w:jc w:val="left"/>
        <w:rPr>
          <w:sz w:val="20"/>
          <w:szCs w:val="20"/>
        </w:rPr>
      </w:pPr>
      <w:r>
        <w:rPr>
          <w:sz w:val="20"/>
          <w:szCs w:val="20"/>
        </w:rPr>
      </w:r>
    </w:p>
    <w:p>
      <w:pPr>
        <w:spacing w:line="200" w:lineRule="exact" w:after="0"/>
        <w:jc w:val="left"/>
        <w:rPr>
          <w:sz w:val="20"/>
          <w:szCs w:val="20"/>
        </w:rPr>
        <w:sectPr>
          <w:pgSz w:w="11900" w:h="16820"/>
          <w:pgMar w:header="299" w:footer="1582" w:top="1040" w:bottom="1780" w:left="620" w:right="540"/>
        </w:sectPr>
      </w:pPr>
    </w:p>
    <w:p>
      <w:pPr>
        <w:spacing w:before="0" w:after="0" w:line="284" w:lineRule="exact"/>
        <w:ind w:left="11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全球供应情况</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38" w:space="840"/>
            <w:col w:w="8462"/>
          </w:cols>
        </w:sectPr>
      </w:pPr>
    </w:p>
    <w:p>
      <w:pPr>
        <w:spacing w:before="0"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40"/>
        </w:sectPr>
      </w:pPr>
    </w:p>
    <w:p>
      <w:pPr>
        <w:spacing w:before="0" w:after="0" w:line="306" w:lineRule="exact"/>
        <w:ind w:left="117" w:right="-73"/>
        <w:jc w:val="left"/>
        <w:rPr>
          <w:rFonts w:ascii="Arial Unicode MS" w:hAnsi="Arial Unicode MS" w:cs="Arial Unicode MS" w:eastAsia="Arial Unicode MS"/>
          <w:sz w:val="22"/>
          <w:szCs w:val="22"/>
        </w:rPr>
      </w:pPr>
      <w:r>
        <w:rPr/>
        <w:pict>
          <v:group style="position:absolute;margin-left:144.860001pt;margin-top:-3.425402pt;width:414pt;height:.1pt;mso-position-horizontal-relative:page;mso-position-vertical-relative:paragraph;z-index:-437" coordorigin="2897,-69" coordsize="8280,2">
            <v:shape style="position:absolute;left:2897;top:-69;width:8280;height:2" coordorigin="2897,-69" coordsize="8280,0" path="m2897,-69l11177,-69e" filled="f" stroked="t" strokeweight="1.5pt" strokecolor="#000000">
              <v:path arrowok="t"/>
            </v:shape>
            <w10:wrap type="none"/>
          </v:group>
        </w:pict>
      </w:r>
      <w:r>
        <w:rPr>
          <w:rFonts w:ascii="Arial Unicode MS" w:hAnsi="Arial Unicode MS" w:cs="Arial Unicode MS" w:eastAsia="Arial Unicode MS"/>
          <w:spacing w:val="0"/>
          <w:w w:val="100"/>
          <w:sz w:val="22"/>
          <w:szCs w:val="22"/>
        </w:rPr>
        <w:t>重要声明</w:t>
      </w:r>
    </w:p>
    <w:p>
      <w:pPr>
        <w:spacing w:before="24" w:after="0" w:line="185" w:lineRule="auto"/>
        <w:ind w:left="6" w:right="252"/>
        <w:jc w:val="left"/>
        <w:rPr>
          <w:rFonts w:ascii="Arial Unicode MS" w:hAnsi="Arial Unicode MS" w:cs="Arial Unicode MS" w:eastAsia="Arial Unicode MS"/>
          <w:sz w:val="12"/>
          <w:szCs w:val="12"/>
        </w:rPr>
      </w:pPr>
      <w:r>
        <w:rPr/>
        <w:br w:type="column"/>
      </w:r>
      <w:r>
        <w:rPr>
          <w:rFonts w:ascii="Arial Unicode MS" w:hAnsi="Arial Unicode MS" w:cs="Arial Unicode MS" w:eastAsia="Arial Unicode MS"/>
          <w:spacing w:val="0"/>
          <w:w w:val="100"/>
          <w:sz w:val="12"/>
          <w:szCs w:val="12"/>
        </w:rPr>
        <w:t>该产品说明书中所提供的资料并非详尽无遗，任何人因任何原因，未首先经我们书面确认而使用本说明书特别推荐以外的任何产品，则自行承担产品对其预</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期目的适用性这一风险。虽然我们竭力保证我们对产品所提供的所有建议(无论在本说明书中或以其它方式提供的)均正确无误，但我们无法控制底材的质量</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或状况或影响该产品施工和使用的多种因素。因此，除非我们特地书面同意这种做法，否则我们对于所产生的任何产品性能问题不负责任，或因使用产品而</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导致的损失或损坏在法律允许的最大范围内概不负责。</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所有供应的产品及提供的技术指导隶属于我们的标准销售条款和条件。您应获取本文件的副本并仔</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细阅读。该产品说明书所包含资料将根据经验及我们不断开发产品的政策随时进行修改。</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在使用产品前，与当地“国际油漆代表”一起检查所持产品说明书为</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最新版本是用户的职责。</w:t>
      </w:r>
    </w:p>
    <w:p>
      <w:pPr>
        <w:spacing w:before="1" w:after="0" w:line="120" w:lineRule="exact"/>
        <w:jc w:val="left"/>
        <w:rPr>
          <w:sz w:val="12"/>
          <w:szCs w:val="12"/>
        </w:rPr>
      </w:pPr>
      <w:r>
        <w:rPr>
          <w:sz w:val="12"/>
          <w:szCs w:val="12"/>
        </w:rPr>
      </w:r>
    </w:p>
    <w:p>
      <w:pPr>
        <w:spacing w:before="0" w:after="0" w:line="240" w:lineRule="auto"/>
        <w:ind w:right="-20"/>
        <w:jc w:val="left"/>
        <w:rPr>
          <w:rFonts w:ascii="Arial Unicode MS" w:hAnsi="Arial Unicode MS" w:cs="Arial Unicode MS" w:eastAsia="Arial Unicode MS"/>
          <w:sz w:val="12"/>
          <w:szCs w:val="12"/>
        </w:rPr>
      </w:pPr>
      <w:r>
        <w:rPr/>
        <w:pict>
          <v:shape style="width:58.54pt;height:7pt;mso-position-horizontal-relative:char;mso-position-vertical-relative:line" type="#_x0000_t75">
            <v:imagedata r:id="rId9" o:title=""/>
          </v:shape>
        </w:pict>
      </w:r>
      <w:r>
        <w:rPr>
          <w:rFonts w:ascii="Arial Unicode MS" w:hAnsi="Arial Unicode MS" w:cs="Arial Unicode MS" w:eastAsia="Arial Unicode MS"/>
          <w:spacing w:val="0"/>
          <w:w w:val="100"/>
          <w:position w:val="0"/>
          <w:sz w:val="12"/>
          <w:szCs w:val="12"/>
        </w:rPr>
        <w:t>以及所有本产品说明书中提到的产品名称均为AkzoNobel（阿克苏诺贝尔）之商标或已许可给AkzoNobel（阿克苏诺贝尔）。</w:t>
      </w:r>
      <w:r>
        <w:rPr>
          <w:rFonts w:ascii="Arial Unicode MS" w:hAnsi="Arial Unicode MS" w:cs="Arial Unicode MS" w:eastAsia="Arial Unicode MS"/>
          <w:spacing w:val="0"/>
          <w:w w:val="100"/>
          <w:position w:val="0"/>
          <w:sz w:val="12"/>
          <w:szCs w:val="12"/>
        </w:rPr>
      </w:r>
    </w:p>
    <w:p>
      <w:pPr>
        <w:spacing w:before="9" w:after="0" w:line="110" w:lineRule="exact"/>
        <w:jc w:val="left"/>
        <w:rPr>
          <w:sz w:val="11"/>
          <w:szCs w:val="11"/>
        </w:rPr>
      </w:pPr>
      <w:r>
        <w:rPr>
          <w:sz w:val="11"/>
          <w:szCs w:val="11"/>
        </w:rPr>
      </w:r>
    </w:p>
    <w:p>
      <w:pPr>
        <w:spacing w:before="0" w:after="0" w:line="240" w:lineRule="auto"/>
        <w:ind w:left="6" w:right="-20"/>
        <w:jc w:val="left"/>
        <w:rPr>
          <w:rFonts w:ascii="Arial" w:hAnsi="Arial" w:cs="Arial" w:eastAsia="Arial"/>
          <w:sz w:val="12"/>
          <w:szCs w:val="12"/>
        </w:rPr>
      </w:pPr>
      <w:r>
        <w:rPr>
          <w:rFonts w:ascii="Arial" w:hAnsi="Arial" w:cs="Arial" w:eastAsia="Arial"/>
          <w:b/>
          <w:bCs/>
          <w:spacing w:val="0"/>
          <w:w w:val="100"/>
          <w:sz w:val="12"/>
          <w:szCs w:val="12"/>
        </w:rPr>
        <w:t>©</w:t>
      </w:r>
      <w:r>
        <w:rPr>
          <w:rFonts w:ascii="Arial" w:hAnsi="Arial" w:cs="Arial" w:eastAsia="Arial"/>
          <w:b/>
          <w:bCs/>
          <w:spacing w:val="-1"/>
          <w:w w:val="100"/>
          <w:sz w:val="12"/>
          <w:szCs w:val="12"/>
        </w:rPr>
        <w:t> </w:t>
      </w:r>
      <w:r>
        <w:rPr>
          <w:rFonts w:ascii="Arial" w:hAnsi="Arial" w:cs="Arial" w:eastAsia="Arial"/>
          <w:b/>
          <w:bCs/>
          <w:spacing w:val="0"/>
          <w:w w:val="100"/>
          <w:sz w:val="12"/>
          <w:szCs w:val="12"/>
        </w:rPr>
        <w:t>AkzoNobel,</w:t>
      </w:r>
      <w:r>
        <w:rPr>
          <w:rFonts w:ascii="Arial" w:hAnsi="Arial" w:cs="Arial" w:eastAsia="Arial"/>
          <w:b/>
          <w:bCs/>
          <w:spacing w:val="-8"/>
          <w:w w:val="100"/>
          <w:sz w:val="12"/>
          <w:szCs w:val="12"/>
        </w:rPr>
        <w:t> </w:t>
      </w:r>
      <w:r>
        <w:rPr>
          <w:rFonts w:ascii="Arial" w:hAnsi="Arial" w:cs="Arial" w:eastAsia="Arial"/>
          <w:b/>
          <w:bCs/>
          <w:spacing w:val="0"/>
          <w:w w:val="100"/>
          <w:sz w:val="12"/>
          <w:szCs w:val="12"/>
        </w:rPr>
        <w:t>2009</w:t>
      </w:r>
      <w:r>
        <w:rPr>
          <w:rFonts w:ascii="Arial" w:hAnsi="Arial" w:cs="Arial" w:eastAsia="Arial"/>
          <w:spacing w:val="0"/>
          <w:w w:val="100"/>
          <w:sz w:val="12"/>
          <w:szCs w:val="12"/>
        </w:rPr>
      </w:r>
    </w:p>
    <w:p>
      <w:pPr>
        <w:spacing w:before="27" w:after="0" w:line="240" w:lineRule="auto"/>
        <w:ind w:left="20" w:right="-20"/>
        <w:jc w:val="left"/>
        <w:rPr>
          <w:rFonts w:ascii="Arial" w:hAnsi="Arial" w:cs="Arial" w:eastAsia="Arial"/>
          <w:sz w:val="18"/>
          <w:szCs w:val="18"/>
        </w:rPr>
      </w:pPr>
      <w:r>
        <w:rPr>
          <w:rFonts w:ascii="Arial" w:hAnsi="Arial" w:cs="Arial" w:eastAsia="Arial"/>
          <w:color w:val="0000FF"/>
          <w:sz w:val="18"/>
          <w:szCs w:val="18"/>
        </w:rPr>
      </w:r>
      <w:hyperlink r:id="rId10">
        <w:r>
          <w:rPr>
            <w:rFonts w:ascii="Arial" w:hAnsi="Arial" w:cs="Arial" w:eastAsia="Arial"/>
            <w:color w:val="0000FF"/>
            <w:spacing w:val="0"/>
            <w:w w:val="100"/>
            <w:sz w:val="18"/>
            <w:szCs w:val="18"/>
            <w:u w:val="single" w:color="0000FF"/>
          </w:rPr>
          <w:t>www.international-marine.com</w:t>
        </w:r>
        <w:r>
          <w:rPr>
            <w:rFonts w:ascii="Arial" w:hAnsi="Arial" w:cs="Arial" w:eastAsia="Arial"/>
            <w:color w:val="0000FF"/>
            <w:spacing w:val="0"/>
            <w:w w:val="100"/>
            <w:sz w:val="18"/>
            <w:szCs w:val="18"/>
          </w:rPr>
        </w:r>
        <w:r>
          <w:rPr>
            <w:rFonts w:ascii="Arial" w:hAnsi="Arial" w:cs="Arial" w:eastAsia="Arial"/>
            <w:color w:val="000000"/>
            <w:spacing w:val="0"/>
            <w:w w:val="100"/>
            <w:sz w:val="18"/>
            <w:szCs w:val="18"/>
          </w:rPr>
        </w:r>
      </w:hyperlink>
    </w:p>
    <w:sectPr>
      <w:type w:val="continuous"/>
      <w:pgSz w:w="11900" w:h="16820"/>
      <w:pgMar w:top="1040" w:bottom="1780" w:left="620" w:right="540"/>
      <w:cols w:num="2" w:equalWidth="0">
        <w:col w:w="998" w:space="1274"/>
        <w:col w:w="84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498.23999pt;margin-top:751.900024pt;width:60.22pt;height:72pt;mso-position-horizontal-relative:page;mso-position-vertical-relative:page;z-index:-447" type="#_x0000_t75">
          <v:imagedata r:id="rId1" o:title=""/>
        </v:shape>
      </w:pict>
    </w:r>
    <w:r>
      <w:rPr/>
      <w:pict>
        <v:group style="position:absolute;margin-left:36.860001pt;margin-top:780.25pt;width:455.53pt;height:.1pt;mso-position-horizontal-relative:page;mso-position-vertical-relative:page;z-index:-446" coordorigin="737,15605" coordsize="9111,2">
          <v:shape style="position:absolute;left:737;top:15605;width:9111;height:2" coordorigin="737,15605" coordsize="9111,0" path="m737,15605l9848,15605e" filled="f" stroked="t" strokeweight=".5pt" strokecolor="#A9A9A9">
            <v:path arrowok="t"/>
          </v:shape>
          <w10:wrap type="none"/>
        </v:group>
      </w:pict>
    </w:r>
    <w:r>
      <w:rPr/>
      <w:pict>
        <v:shape style="position:absolute;margin-left:35.857868pt;margin-top:764.050842pt;width:96.309991pt;height:52.800713pt;mso-position-horizontal-relative:page;mso-position-vertical-relative:page;z-index:-445" type="#_x0000_t202" filled="f" stroked="f">
          <v:textbox inset="0,0,0,0">
            <w:txbxContent>
              <w:p>
                <w:pPr>
                  <w:spacing w:before="0" w:after="0" w:line="265" w:lineRule="exact"/>
                  <w:ind w:left="40" w:right="-56"/>
                  <w:jc w:val="left"/>
                  <w:rPr>
                    <w:rFonts w:ascii="Arial" w:hAnsi="Arial" w:cs="Arial" w:eastAsia="Arial"/>
                    <w:sz w:val="24"/>
                    <w:szCs w:val="24"/>
                  </w:rPr>
                </w:pPr>
                <w:r>
                  <w:rPr>
                    <w:rFonts w:ascii="Arial" w:hAnsi="Arial" w:cs="Arial" w:eastAsia="Arial"/>
                    <w:b/>
                    <w:bCs/>
                    <w:color w:val="7F7F7F"/>
                    <w:spacing w:val="0"/>
                    <w:w w:val="100"/>
                    <w:sz w:val="24"/>
                    <w:szCs w:val="24"/>
                  </w:rPr>
                  <w:t>Marine</w:t>
                </w:r>
                <w:r>
                  <w:rPr>
                    <w:rFonts w:ascii="Arial" w:hAnsi="Arial" w:cs="Arial" w:eastAsia="Arial"/>
                    <w:b/>
                    <w:bCs/>
                    <w:color w:val="7F7F7F"/>
                    <w:spacing w:val="-1"/>
                    <w:w w:val="100"/>
                    <w:sz w:val="24"/>
                    <w:szCs w:val="24"/>
                  </w:rPr>
                  <w:t> </w:t>
                </w:r>
                <w:r>
                  <w:rPr>
                    <w:rFonts w:ascii="Arial" w:hAnsi="Arial" w:cs="Arial" w:eastAsia="Arial"/>
                    <w:b/>
                    <w:bCs/>
                    <w:color w:val="7F7F7F"/>
                    <w:spacing w:val="0"/>
                    <w:w w:val="100"/>
                    <w:sz w:val="24"/>
                    <w:szCs w:val="24"/>
                  </w:rPr>
                  <w:t>Coatings</w:t>
                </w:r>
                <w:r>
                  <w:rPr>
                    <w:rFonts w:ascii="Arial" w:hAnsi="Arial" w:cs="Arial" w:eastAsia="Arial"/>
                    <w:color w:val="000000"/>
                    <w:spacing w:val="0"/>
                    <w:w w:val="100"/>
                    <w:sz w:val="24"/>
                    <w:szCs w:val="24"/>
                  </w:rPr>
                </w:r>
              </w:p>
              <w:p>
                <w:pPr>
                  <w:spacing w:before="3" w:after="0" w:line="100" w:lineRule="exact"/>
                  <w:jc w:val="left"/>
                  <w:rPr>
                    <w:sz w:val="10"/>
                    <w:szCs w:val="10"/>
                  </w:rPr>
                </w:pPr>
                <w:r>
                  <w:rPr>
                    <w:sz w:val="10"/>
                    <w:szCs w:val="10"/>
                  </w:rPr>
                </w:r>
              </w:p>
              <w:p>
                <w:pPr>
                  <w:spacing w:before="0" w:after="0" w:line="222" w:lineRule="auto"/>
                  <w:ind w:left="20" w:right="604"/>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第</w:t>
                </w:r>
                <w:r>
                  <w:rPr>
                    <w:rFonts w:ascii="Arial Unicode MS" w:hAnsi="Arial Unicode MS" w:cs="Arial Unicode MS" w:eastAsia="Arial Unicode MS"/>
                    <w:spacing w:val="0"/>
                    <w:w w:val="100"/>
                    <w:sz w:val="14"/>
                    <w:szCs w:val="14"/>
                  </w:rPr>
                  <w:t> </w:t>
                </w:r>
                <w:r>
                  <w:rPr/>
                  <w:fldChar w:fldCharType="begin"/>
                </w:r>
                <w:r>
                  <w:rPr>
                    <w:rFonts w:ascii="Arial Unicode MS" w:hAnsi="Arial Unicode MS" w:cs="Arial Unicode MS" w:eastAsia="Arial Unicode MS"/>
                    <w:spacing w:val="0"/>
                    <w:w w:val="100"/>
                    <w:sz w:val="14"/>
                    <w:szCs w:val="14"/>
                  </w:rPr>
                  <w:instrText> PAGE </w:instrText>
                </w:r>
                <w:r>
                  <w:rPr/>
                  <w:fldChar w:fldCharType="separate"/>
                </w:r>
                <w:r>
                  <w:rPr/>
                  <w:t>1</w:t>
                </w:r>
                <w:r>
                  <w:rPr/>
                  <w:fldChar w:fldCharType="end"/>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页，共</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发行日期：2009/7/7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资料来源206</w:t>
                </w:r>
              </w:p>
            </w:txbxContent>
          </v:textbox>
          <w10:wrap type="none"/>
        </v:shape>
      </w:pict>
    </w:r>
    <w:r>
      <w:rPr>
        <w:sz w:val="20"/>
        <w:szCs w:val="20"/>
      </w:rP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449" type="#_x0000_t75">
          <v:imagedata r:id="rId1" o:title=""/>
        </v:shape>
      </w:pict>
    </w:r>
    <w:r>
      <w:rPr/>
      <w:pict>
        <v:shapetype id="_x0000_t202" o:spt="202" coordsize="21600,21600" path="m,l,21600r21600,l21600,xe">
          <v:stroke joinstyle="miter"/>
          <v:path gradientshapeok="t" o:connecttype="rect"/>
        </v:shapetype>
        <v:shape style="position:absolute;margin-left:414.480896pt;margin-top:13.964228pt;width:148.893204pt;height:39.970127pt;mso-position-horizontal-relative:page;mso-position-vertical-relative:page;z-index:-448"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269</w:t>
                </w:r>
                <w:r>
                  <w:rPr>
                    <w:rFonts w:ascii="Arial Unicode MS" w:hAnsi="Arial Unicode MS" w:cs="Arial Unicode MS" w:eastAsia="Arial Unicode MS"/>
                    <w:spacing w:val="0"/>
                    <w:w w:val="100"/>
                    <w:position w:val="0"/>
                    <w:sz w:val="48"/>
                    <w:szCs w:val="48"/>
                  </w:rPr>
                </w:r>
              </w:p>
              <w:p>
                <w:pPr>
                  <w:spacing w:before="0" w:after="0" w:line="262" w:lineRule="exact"/>
                  <w:ind w:left="1357"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环氧底漆/过渡漆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444" type="#_x0000_t75">
          <v:imagedata r:id="rId1" o:title=""/>
        </v:shape>
      </w:pict>
    </w:r>
    <w:r>
      <w:rPr/>
      <w:pict>
        <v:shape style="position:absolute;margin-left:414.480896pt;margin-top:13.964228pt;width:148.893204pt;height:39.970127pt;mso-position-horizontal-relative:page;mso-position-vertical-relative:page;z-index:-443"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269</w:t>
                </w:r>
                <w:r>
                  <w:rPr>
                    <w:rFonts w:ascii="Arial Unicode MS" w:hAnsi="Arial Unicode MS" w:cs="Arial Unicode MS" w:eastAsia="Arial Unicode MS"/>
                    <w:spacing w:val="0"/>
                    <w:w w:val="100"/>
                    <w:position w:val="0"/>
                    <w:sz w:val="48"/>
                    <w:szCs w:val="48"/>
                  </w:rPr>
                </w:r>
              </w:p>
              <w:p>
                <w:pPr>
                  <w:spacing w:before="0" w:after="0" w:line="262" w:lineRule="exact"/>
                  <w:ind w:left="1357"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环氧底漆/过渡漆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442" type="#_x0000_t75">
          <v:imagedata r:id="rId1" o:title=""/>
        </v:shape>
      </w:pict>
    </w:r>
    <w:r>
      <w:rPr/>
      <w:pict>
        <v:shape style="position:absolute;margin-left:414.480896pt;margin-top:13.964228pt;width:148.893204pt;height:39.970127pt;mso-position-horizontal-relative:page;mso-position-vertical-relative:page;z-index:-441"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269</w:t>
                </w:r>
                <w:r>
                  <w:rPr>
                    <w:rFonts w:ascii="Arial Unicode MS" w:hAnsi="Arial Unicode MS" w:cs="Arial Unicode MS" w:eastAsia="Arial Unicode MS"/>
                    <w:spacing w:val="0"/>
                    <w:w w:val="100"/>
                    <w:position w:val="0"/>
                    <w:sz w:val="48"/>
                    <w:szCs w:val="48"/>
                  </w:rPr>
                </w:r>
              </w:p>
              <w:p>
                <w:pPr>
                  <w:spacing w:before="0" w:after="0" w:line="262" w:lineRule="exact"/>
                  <w:ind w:left="1357"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环氧底漆/过渡漆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image" Target="media/image5.jpg"/><Relationship Id="rId10" Type="http://schemas.openxmlformats.org/officeDocument/2006/relationships/hyperlink" Target="http://www.international-mar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PdfGen</dc:creator>
  <cp:keywords>Chinese Simplified Marine Coatings Intergard 269 环氧底漆/过渡漆 Intergard 1 07/07/2009 Intergard 269 I 206 chi-s</cp:keywords>
  <dc:subject>Technical Datasheet</dc:subject>
  <dc:title>Intergard 269</dc:title>
  <dcterms:created xsi:type="dcterms:W3CDTF">2015-07-27T15:49:24Z</dcterms:created>
  <dcterms:modified xsi:type="dcterms:W3CDTF">2015-07-27T15:49:24Z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LastSaved">
    <vt:filetime>2015-07-27T00:00:00Z</vt:filetime>
  </property>
</Properties>
</file>